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73587A" w:rsidRPr="0073587A" w:rsidTr="00664F59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87A" w:rsidRP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73587A" w:rsidRP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73587A" w:rsidRP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7A" w:rsidRP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3587A" w:rsidRPr="0073587A" w:rsidRDefault="00664F59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№65</w:t>
            </w:r>
            <w:r w:rsidR="0073587A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15</w:t>
            </w:r>
            <w:r w:rsidR="0073587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73587A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73587A" w:rsidRP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73587A" w:rsidRP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73587A" w:rsidRPr="0073587A" w:rsidRDefault="0073587A" w:rsidP="0073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3587A" w:rsidRDefault="0073587A" w:rsidP="0073587A">
      <w:pPr>
        <w:spacing w:after="0"/>
        <w:jc w:val="center"/>
        <w:rPr>
          <w:sz w:val="24"/>
          <w:szCs w:val="24"/>
        </w:rPr>
      </w:pPr>
    </w:p>
    <w:p w:rsidR="00664F59" w:rsidRPr="00664F59" w:rsidRDefault="00664F59" w:rsidP="00664F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СТАРОРУССКАЯ МЕЖРАЙОННАЯ ПРОКУРАТУРА </w:t>
      </w:r>
    </w:p>
    <w:p w:rsidR="00664F59" w:rsidRPr="00664F59" w:rsidRDefault="00664F59" w:rsidP="00664F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F59" w:rsidRDefault="00664F59" w:rsidP="00664F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b/>
          <w:sz w:val="24"/>
          <w:szCs w:val="24"/>
        </w:rPr>
        <w:t>В Старой Руссе прокуратура помогла 3 сиротам получить жилье</w:t>
      </w:r>
    </w:p>
    <w:p w:rsidR="00664F59" w:rsidRPr="00664F59" w:rsidRDefault="00664F59" w:rsidP="00664F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F59" w:rsidRPr="00664F59" w:rsidRDefault="00664F59" w:rsidP="0066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664F59" w:rsidRPr="00664F59" w:rsidRDefault="00664F59" w:rsidP="0066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Установлено, что трое сирот, включенных органом местного самоуправления в список лиц, имеющих право на предоставление жилых помещений, обеспечены ими не были.</w:t>
      </w:r>
    </w:p>
    <w:p w:rsidR="00664F59" w:rsidRPr="00664F59" w:rsidRDefault="00664F59" w:rsidP="0066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По данным фактам прокурор внёс главе районной администрации представления с требованием обеспечить сирот жильем.</w:t>
      </w:r>
    </w:p>
    <w:p w:rsidR="00664F59" w:rsidRPr="00664F59" w:rsidRDefault="00664F59" w:rsidP="0066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664F59">
        <w:rPr>
          <w:rFonts w:ascii="Times New Roman" w:eastAsia="Times New Roman" w:hAnsi="Times New Roman" w:cs="Times New Roman"/>
          <w:sz w:val="24"/>
          <w:szCs w:val="24"/>
        </w:rPr>
        <w:t>рассмотрения актов реагирования требования прокурора</w:t>
      </w:r>
      <w:proofErr w:type="gramEnd"/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удовлетворены в полном объеме.</w:t>
      </w:r>
    </w:p>
    <w:p w:rsidR="00664F59" w:rsidRPr="00664F59" w:rsidRDefault="00664F59" w:rsidP="0066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В настоящее время двум девушкам и молодому человеку предоставлены благоустроенные квартиры.</w:t>
      </w:r>
      <w:bookmarkStart w:id="0" w:name="_GoBack"/>
      <w:bookmarkEnd w:id="0"/>
    </w:p>
    <w:p w:rsidR="00664F59" w:rsidRPr="00664F59" w:rsidRDefault="00664F59" w:rsidP="00664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59">
        <w:rPr>
          <w:rFonts w:ascii="Times New Roman" w:hAnsi="Times New Roman" w:cs="Times New Roman"/>
          <w:b/>
          <w:sz w:val="24"/>
          <w:szCs w:val="24"/>
        </w:rPr>
        <w:t>В Старой Руссе местный житель осужден за тайное хищение</w:t>
      </w:r>
      <w:r w:rsidRPr="00664F59">
        <w:rPr>
          <w:rFonts w:ascii="Times New Roman" w:hAnsi="Times New Roman" w:cs="Times New Roman"/>
          <w:b/>
          <w:sz w:val="24"/>
          <w:szCs w:val="24"/>
        </w:rPr>
        <w:br/>
        <w:t>ювелирного украшения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05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местного жителя, ранее не судимого </w:t>
      </w:r>
      <w:proofErr w:type="spellStart"/>
      <w:r w:rsidRPr="00664F59">
        <w:rPr>
          <w:rFonts w:ascii="Times New Roman" w:hAnsi="Times New Roman" w:cs="Times New Roman"/>
          <w:sz w:val="24"/>
          <w:szCs w:val="24"/>
        </w:rPr>
        <w:t>Ропало</w:t>
      </w:r>
      <w:proofErr w:type="spellEnd"/>
      <w:r w:rsidRPr="00664F59">
        <w:rPr>
          <w:rFonts w:ascii="Times New Roman" w:hAnsi="Times New Roman" w:cs="Times New Roman"/>
          <w:sz w:val="24"/>
          <w:szCs w:val="24"/>
        </w:rPr>
        <w:t xml:space="preserve"> Сергея.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Он признан виновным в совершении преступления, предусмотренного п. «в»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>. 2 ст. 158 УК РФ (кража, то есть тайное хищение чужого имущества, совершенная с причинением значительного ущерба гражданину).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Судом установлено, что в июне 2022 года </w:t>
      </w:r>
      <w:proofErr w:type="spellStart"/>
      <w:r w:rsidRPr="00664F59">
        <w:rPr>
          <w:rFonts w:ascii="Times New Roman" w:hAnsi="Times New Roman" w:cs="Times New Roman"/>
          <w:sz w:val="24"/>
          <w:szCs w:val="24"/>
        </w:rPr>
        <w:t>Ропало</w:t>
      </w:r>
      <w:proofErr w:type="spellEnd"/>
      <w:r w:rsidRPr="00664F59">
        <w:rPr>
          <w:rFonts w:ascii="Times New Roman" w:hAnsi="Times New Roman" w:cs="Times New Roman"/>
          <w:sz w:val="24"/>
          <w:szCs w:val="24"/>
        </w:rPr>
        <w:t xml:space="preserve">, находясь в жилом доме, расположенном в дер. </w:t>
      </w:r>
      <w:proofErr w:type="spellStart"/>
      <w:r w:rsidRPr="00664F59">
        <w:rPr>
          <w:rFonts w:ascii="Times New Roman" w:hAnsi="Times New Roman" w:cs="Times New Roman"/>
          <w:sz w:val="24"/>
          <w:szCs w:val="24"/>
        </w:rPr>
        <w:t>Ретлё</w:t>
      </w:r>
      <w:proofErr w:type="spellEnd"/>
      <w:r w:rsidRPr="00664F59">
        <w:rPr>
          <w:rFonts w:ascii="Times New Roman" w:hAnsi="Times New Roman" w:cs="Times New Roman"/>
          <w:sz w:val="24"/>
          <w:szCs w:val="24"/>
        </w:rPr>
        <w:t xml:space="preserve"> Старорусского района Новгородской области, тайно похитил цепь из золота стоимостью более 104 000 рублей.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Приговором суда ему назначено наказание в виде обязательных работ на срок 300 часов.</w:t>
      </w:r>
    </w:p>
    <w:p w:rsidR="00664F59" w:rsidRPr="00664F59" w:rsidRDefault="00664F59" w:rsidP="00664F5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 в законную силу не вступил и может быть обжалован в установленном законом порядке.</w:t>
      </w:r>
      <w:r w:rsidRPr="00664F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64F59" w:rsidRPr="00664F59" w:rsidRDefault="00664F59" w:rsidP="00664F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b/>
          <w:sz w:val="24"/>
          <w:szCs w:val="24"/>
        </w:rPr>
        <w:t>В Старой Руссе местный житель осужден к реальному лишению свободы за сбыт наркотиков</w:t>
      </w:r>
    </w:p>
    <w:p w:rsidR="00664F59" w:rsidRPr="00664F59" w:rsidRDefault="00664F59" w:rsidP="00664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</w:t>
      </w:r>
      <w:bookmarkStart w:id="1" w:name="_Hlk120121492"/>
      <w:r w:rsidRPr="00664F59">
        <w:rPr>
          <w:rFonts w:ascii="Times New Roman" w:eastAsia="Times New Roman" w:hAnsi="Times New Roman" w:cs="Times New Roman"/>
          <w:sz w:val="24"/>
          <w:szCs w:val="24"/>
        </w:rPr>
        <w:t>30-летнего</w:t>
      </w:r>
      <w:bookmarkStart w:id="2" w:name="_Hlk120121404"/>
      <w:bookmarkEnd w:id="1"/>
      <w:r w:rsidRPr="00664F59">
        <w:rPr>
          <w:rFonts w:ascii="Times New Roman" w:eastAsia="Times New Roman" w:hAnsi="Times New Roman" w:cs="Times New Roman"/>
          <w:sz w:val="24"/>
          <w:szCs w:val="24"/>
        </w:rPr>
        <w:t>местного жителя</w:t>
      </w:r>
      <w:bookmarkEnd w:id="2"/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 Мороз Ильи. </w:t>
      </w:r>
      <w:bookmarkStart w:id="3" w:name="_Hlk120121525"/>
      <w:proofErr w:type="gramStart"/>
      <w:r w:rsidRPr="00664F59">
        <w:rPr>
          <w:rFonts w:ascii="Times New Roman" w:hAnsi="Times New Roman" w:cs="Times New Roman"/>
          <w:color w:val="333333"/>
          <w:sz w:val="24"/>
          <w:szCs w:val="24"/>
        </w:rPr>
        <w:t xml:space="preserve">Он признан виновным в совершении трех </w:t>
      </w:r>
      <w:r w:rsidRPr="00664F59">
        <w:rPr>
          <w:rFonts w:ascii="Times New Roman" w:eastAsia="Times New Roman" w:hAnsi="Times New Roman" w:cs="Times New Roman"/>
          <w:sz w:val="24"/>
          <w:szCs w:val="24"/>
        </w:rPr>
        <w:t>преступлений, предусмотренных п. «г» ч.4 ст. 228.1, п. «б» ч.3 ст. 228.1 и ч.2 ст.228 УК РФ (незаконный сбыт наркотических средств совершенный в крупном размере, незаконный сбыт наркотических средств, совершенный в значительном размере и незаконное хранение без цели сбыта наркотических средств, совершенный в крупном размере).</w:t>
      </w:r>
      <w:proofErr w:type="gramEnd"/>
    </w:p>
    <w:bookmarkEnd w:id="3"/>
    <w:p w:rsidR="00664F59" w:rsidRPr="00664F59" w:rsidRDefault="00664F59" w:rsidP="00664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Судом установлено, что в декабре 2021 года, Мороз, находясь на </w:t>
      </w:r>
      <w:bookmarkStart w:id="4" w:name="_Hlk120121608"/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ул. Поперечная в </w:t>
      </w:r>
      <w:proofErr w:type="gramStart"/>
      <w:r w:rsidRPr="00664F5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. Старая Русса сбыл лицу, действующему в рамках оперативно-розыскного мероприятия «проверочная закупка», наркотическое средство массой более 3 гр., за 2100 рублей. </w:t>
      </w:r>
    </w:p>
    <w:p w:rsidR="00664F59" w:rsidRPr="00664F59" w:rsidRDefault="00664F59" w:rsidP="00664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январе 2022 года Мороз, находясь на ул. Поперечная в </w:t>
      </w:r>
      <w:proofErr w:type="gramStart"/>
      <w:r w:rsidRPr="00664F5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. Старая Русса сбыл лицу, действующему в рамках оперативно-розыскного мероприятия «проверочная закупка», наркотическое средство массой более 1,9 гр., за 1500 рублей. </w:t>
      </w:r>
    </w:p>
    <w:p w:rsidR="00664F59" w:rsidRPr="00664F59" w:rsidRDefault="00664F59" w:rsidP="00664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Он же, незаконно хранил по месту своего жительства наркотические средства, массой более 3 гр., которые были изъяты оперативными сотрудниками в ходе обыска.</w:t>
      </w:r>
    </w:p>
    <w:p w:rsidR="00664F59" w:rsidRPr="00664F59" w:rsidRDefault="00664F59" w:rsidP="00664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Вину в совершении преступлений подсудимый признал в полном объеме.</w:t>
      </w:r>
    </w:p>
    <w:p w:rsidR="00664F59" w:rsidRPr="00664F59" w:rsidRDefault="00664F59" w:rsidP="00664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Суд, с учетом позиции представителя прокуратуры, назначил ему наказание в виде 11 лет лишения свободы в колонии строгого режима.</w:t>
      </w:r>
    </w:p>
    <w:p w:rsidR="00664F59" w:rsidRPr="00664F59" w:rsidRDefault="00664F59" w:rsidP="00664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sz w:val="24"/>
          <w:szCs w:val="24"/>
        </w:rPr>
        <w:t>Приговор в законную силу не вступил и может быть обжалован в установленном законом порядке.</w:t>
      </w:r>
      <w:bookmarkEnd w:id="4"/>
    </w:p>
    <w:p w:rsidR="00664F59" w:rsidRPr="00664F59" w:rsidRDefault="00664F59" w:rsidP="00664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F59" w:rsidRPr="00664F59" w:rsidRDefault="00CA073A" w:rsidP="00CA073A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F59" w:rsidRPr="00664F59">
        <w:rPr>
          <w:rFonts w:ascii="Times New Roman" w:hAnsi="Times New Roman" w:cs="Times New Roman"/>
          <w:b/>
          <w:sz w:val="24"/>
          <w:szCs w:val="24"/>
        </w:rPr>
        <w:t>Житель Старорусского района к реальному лишению свободы за сбыт наркотиков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07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жителя Старорусского района, 36-летнего, ранее судимого Николая Лукина. Он признан виновным в совершении преступления, предусмотренного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>. 1 ст. 228.1 УК РФ (</w:t>
      </w:r>
      <w:bookmarkStart w:id="5" w:name="_Hlk56499914"/>
      <w:r w:rsidRPr="00664F59">
        <w:rPr>
          <w:rFonts w:ascii="Times New Roman" w:hAnsi="Times New Roman" w:cs="Times New Roman"/>
          <w:sz w:val="24"/>
          <w:szCs w:val="24"/>
        </w:rPr>
        <w:t>незаконный сбыт наркотических средств</w:t>
      </w:r>
      <w:bookmarkEnd w:id="5"/>
      <w:r w:rsidRPr="00664F59">
        <w:rPr>
          <w:rFonts w:ascii="Times New Roman" w:hAnsi="Times New Roman" w:cs="Times New Roman"/>
          <w:sz w:val="24"/>
          <w:szCs w:val="24"/>
        </w:rPr>
        <w:t>).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Судом установлено, что в декабре 2021 года, Лукин, находясь </w:t>
      </w:r>
      <w:bookmarkStart w:id="6" w:name="_Hlk56500383"/>
      <w:r w:rsidRPr="00664F59">
        <w:rPr>
          <w:rFonts w:ascii="Times New Roman" w:hAnsi="Times New Roman" w:cs="Times New Roman"/>
          <w:sz w:val="24"/>
          <w:szCs w:val="24"/>
        </w:rPr>
        <w:t xml:space="preserve">на одной из улиц д. </w:t>
      </w:r>
      <w:proofErr w:type="spellStart"/>
      <w:r w:rsidRPr="00664F59">
        <w:rPr>
          <w:rFonts w:ascii="Times New Roman" w:hAnsi="Times New Roman" w:cs="Times New Roman"/>
          <w:sz w:val="24"/>
          <w:szCs w:val="24"/>
        </w:rPr>
        <w:t>Чертицко</w:t>
      </w:r>
      <w:proofErr w:type="spellEnd"/>
      <w:r w:rsidRPr="00664F59">
        <w:rPr>
          <w:rFonts w:ascii="Times New Roman" w:hAnsi="Times New Roman" w:cs="Times New Roman"/>
          <w:sz w:val="24"/>
          <w:szCs w:val="24"/>
        </w:rPr>
        <w:t xml:space="preserve"> Старорусского района </w:t>
      </w:r>
      <w:bookmarkEnd w:id="6"/>
      <w:r w:rsidRPr="00664F59">
        <w:rPr>
          <w:rFonts w:ascii="Times New Roman" w:hAnsi="Times New Roman" w:cs="Times New Roman"/>
          <w:sz w:val="24"/>
          <w:szCs w:val="24"/>
        </w:rPr>
        <w:t>сбыл лицу, действующему в рамках оперативно-розыскного мероприятия «проверочная закупка», наркотическое средство массой 0,077 гр., за 2000 рублей.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 частично.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Суд, с учетом позиции представителя прокуратуры, назначил ему наказание по совокупности приговоров в виде 5,5 лет лишения свободы в колонии общего режима.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 в законную силу не вступил, и может быть обжалован в установленном законом порядке.</w:t>
      </w:r>
    </w:p>
    <w:p w:rsidR="00664F59" w:rsidRPr="00664F59" w:rsidRDefault="00664F59" w:rsidP="00664F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59">
        <w:rPr>
          <w:rFonts w:ascii="Times New Roman" w:hAnsi="Times New Roman" w:cs="Times New Roman"/>
          <w:b/>
          <w:sz w:val="24"/>
          <w:szCs w:val="24"/>
        </w:rPr>
        <w:t>В Старой Руссе местная жительница осуждена за умышленное применение насилия в отношения сотрудника полиции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12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местной жительницы, ранее не судимой Кирилловой Ольги.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Она признана виновной в совершении преступления, предусмотренного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>. 1 ст. 318 УК РФ 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Судом установлено, что в апреле 2022 года Кириллова, находясь в помещении подъезда жилого, многоквартирного дома, расположенного на ул. Санкт-Петербургская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>. Старая Русса Новгородской области, из мести за законную деятельность, умышленно нанесла один удар ногой в паховую область сотруднику полиции.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Приговором суда ей назначено наказание в виде штрафа в размере 50 000 рублей.</w:t>
      </w:r>
    </w:p>
    <w:p w:rsidR="00664F59" w:rsidRPr="00664F59" w:rsidRDefault="00664F59" w:rsidP="00664F5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Приговор в законную силу не вступил и может быть обжалован в установленном законом порядке. </w:t>
      </w:r>
    </w:p>
    <w:p w:rsidR="00664F59" w:rsidRPr="00664F59" w:rsidRDefault="00664F59" w:rsidP="00664F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59">
        <w:rPr>
          <w:rFonts w:ascii="Times New Roman" w:hAnsi="Times New Roman" w:cs="Times New Roman"/>
          <w:b/>
          <w:sz w:val="24"/>
          <w:szCs w:val="24"/>
        </w:rPr>
        <w:t xml:space="preserve">В Старой Руссе местный житель осужден к лишению свободы условно за уклонение от уплаты алиментов 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>. Старая Русса ранее судимого, 42-летнего Сергея Авдеева.</w:t>
      </w:r>
    </w:p>
    <w:p w:rsidR="00664F59" w:rsidRPr="00664F59" w:rsidRDefault="00664F59" w:rsidP="00664F59">
      <w:pPr>
        <w:spacing w:line="240" w:lineRule="auto"/>
        <w:ind w:right="-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lastRenderedPageBreak/>
        <w:t xml:space="preserve">Он признан виновным в совершении преступления, предусмотренного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>. 1ст. 157 УК РФ – неуплата родителем без уважительных причин в нарушение решения суда средств на содержание несовершеннолетнего ребенка, совершенная неоднократно.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Судом установлено, что с апреля 2021 года по июнь 2022 года Авдеев, будучи ранее привлеченным к административной ответственности в виде 80 часов обязательных работ за уклонение от оплаты алиментов, вновь не производил выплаты на содержание своего несовершеннолетнего ребенка.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Общая сумма задолженности составила более 500 тыс. рублей, в том числе за период злостного уклонения от уплаты алиментов - более 160 тыс. рублей.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 полностью.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Приговором суда ему назначено наказание в виде 6 месяцев лишения свободы условно с испытательным сроком на 6 месяцев.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 вступил в законную силу.</w:t>
      </w:r>
    </w:p>
    <w:p w:rsidR="00664F59" w:rsidRPr="00664F59" w:rsidRDefault="00664F59" w:rsidP="00664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F59" w:rsidRPr="00664F59" w:rsidRDefault="00664F59" w:rsidP="00664F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59">
        <w:rPr>
          <w:rFonts w:ascii="Times New Roman" w:hAnsi="Times New Roman" w:cs="Times New Roman"/>
          <w:b/>
          <w:sz w:val="24"/>
          <w:szCs w:val="24"/>
        </w:rPr>
        <w:t xml:space="preserve">В Старой Руссе местный житель осужден к лишению свободы реально за уклонение от уплаты алиментов 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Старорусским районным судом Новгородской области вынесен обвинительный приговор по уголовному делу в отношении 34-летнего жителя Старорусского района ранее судимого, Антонова Александра.</w:t>
      </w:r>
    </w:p>
    <w:p w:rsidR="00664F59" w:rsidRPr="00664F59" w:rsidRDefault="00664F59" w:rsidP="00664F59">
      <w:pPr>
        <w:spacing w:line="240" w:lineRule="auto"/>
        <w:ind w:right="-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 xml:space="preserve">Он признан виновным в совершении преступления, предусмотренного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>. 1 ст. 157 УК РФ – неуплата родителем без уважительных причин в нарушение решения суда средств на содержание несовершеннолетнего ребенка, совершенная неоднократно.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Судом установлено, что с марта 2022 года по август 2022 года Антонов А., будучи ранее привлеченным к административной ответственности в виде 80 часов обязательных работ за уклонение от оплаты алиментов, и осужденным в марте 2022 года за неуплату алиментов, вновь не производил выплаты на содержание своего несовершеннолетнего ребенка.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Общая сумма задолженности составила более 180 тыс. рублей, в том числе за период злостного уклонения от уплаты алиментов - более 75 тыс. рублей.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 полностью.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Приговором суда ему назначено наказание в виде 4 месяцев 05 дней лишения свободы, с отбытием наказания в колонии поселения.</w:t>
      </w:r>
    </w:p>
    <w:p w:rsidR="00664F59" w:rsidRPr="00664F59" w:rsidRDefault="00664F59" w:rsidP="00664F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Приговор вступил в законную силу.</w:t>
      </w:r>
    </w:p>
    <w:p w:rsidR="00664F59" w:rsidRDefault="00664F59" w:rsidP="00664F5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59">
        <w:rPr>
          <w:rFonts w:ascii="Times New Roman" w:hAnsi="Times New Roman" w:cs="Times New Roman"/>
          <w:b/>
          <w:sz w:val="24"/>
          <w:szCs w:val="24"/>
        </w:rPr>
        <w:t>Старорусской межрайонной прокуратурой проведена проверка соблюдения федерального законодательства об обеспечении доступа к информации о деятельности органов местного самоуправления</w:t>
      </w:r>
    </w:p>
    <w:p w:rsidR="00664F59" w:rsidRPr="00664F59" w:rsidRDefault="00664F59" w:rsidP="00664F5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59" w:rsidRPr="00664F59" w:rsidRDefault="00664F59" w:rsidP="00664F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F5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Проверкой установлено, что в нарушение требований </w:t>
      </w:r>
      <w:proofErr w:type="spellStart"/>
      <w:r w:rsidRPr="00664F59">
        <w:rPr>
          <w:rFonts w:ascii="Times New Roman" w:eastAsia="Times New Roman" w:hAnsi="Times New Roman" w:cs="Times New Roman"/>
          <w:bCs/>
          <w:sz w:val="24"/>
          <w:szCs w:val="24"/>
        </w:rPr>
        <w:t>Фдерального</w:t>
      </w:r>
      <w:proofErr w:type="spellEnd"/>
      <w:r w:rsidRPr="00664F5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закона </w:t>
      </w:r>
      <w:r w:rsidRPr="00664F59">
        <w:rPr>
          <w:rFonts w:ascii="Times New Roman" w:hAnsi="Times New Roman" w:cs="Times New Roman"/>
          <w:sz w:val="24"/>
          <w:szCs w:val="24"/>
        </w:rPr>
        <w:t xml:space="preserve">от 09.02.2009 № 8-ФЗ  «Об обеспечении доступа к информации о деятельности государственных органов и органов местного самоуправления» </w:t>
      </w:r>
      <w:r w:rsidRPr="00664F5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официальных сайтах </w:t>
      </w:r>
      <w:r w:rsidRPr="00664F59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</w:t>
      </w:r>
      <w:proofErr w:type="gramStart"/>
      <w:r w:rsidRPr="00664F5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Pr="00664F5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сельских поселений Старорусского района отсутствовал ряд обязательной к размещению и</w:t>
      </w:r>
      <w:r w:rsidRPr="00664F59">
        <w:rPr>
          <w:rFonts w:ascii="Times New Roman" w:eastAsia="Times New Roman" w:hAnsi="Times New Roman" w:cs="Times New Roman"/>
          <w:sz w:val="24"/>
          <w:szCs w:val="24"/>
        </w:rPr>
        <w:t xml:space="preserve">нформации об их деятельности. </w:t>
      </w:r>
    </w:p>
    <w:p w:rsidR="00664F59" w:rsidRPr="00664F59" w:rsidRDefault="00664F59" w:rsidP="00664F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По данному факту межрайонный прокурор в отношении ответственных за размещение соответствующей информации должностных лиц возбудил дела об административных</w:t>
      </w:r>
      <w:r w:rsidR="00E449D3">
        <w:rPr>
          <w:rFonts w:ascii="Times New Roman" w:hAnsi="Times New Roman" w:cs="Times New Roman"/>
          <w:sz w:val="24"/>
          <w:szCs w:val="24"/>
        </w:rPr>
        <w:t xml:space="preserve"> </w:t>
      </w:r>
      <w:r w:rsidRPr="00664F59">
        <w:rPr>
          <w:rFonts w:ascii="Times New Roman" w:hAnsi="Times New Roman" w:cs="Times New Roman"/>
          <w:sz w:val="24"/>
          <w:szCs w:val="24"/>
        </w:rPr>
        <w:lastRenderedPageBreak/>
        <w:t>правонарушени</w:t>
      </w:r>
      <w:r w:rsidR="00E449D3">
        <w:rPr>
          <w:rFonts w:ascii="Times New Roman" w:hAnsi="Times New Roman" w:cs="Times New Roman"/>
          <w:sz w:val="24"/>
          <w:szCs w:val="24"/>
        </w:rPr>
        <w:t>я</w:t>
      </w:r>
      <w:r w:rsidRPr="00664F59">
        <w:rPr>
          <w:rFonts w:ascii="Times New Roman" w:hAnsi="Times New Roman" w:cs="Times New Roman"/>
          <w:sz w:val="24"/>
          <w:szCs w:val="24"/>
        </w:rPr>
        <w:t xml:space="preserve">х по </w:t>
      </w:r>
      <w:proofErr w:type="gramStart"/>
      <w:r w:rsidRPr="00664F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64F59">
        <w:rPr>
          <w:rFonts w:ascii="Times New Roman" w:hAnsi="Times New Roman" w:cs="Times New Roman"/>
          <w:sz w:val="24"/>
          <w:szCs w:val="24"/>
        </w:rPr>
        <w:t xml:space="preserve">.2 ст.13.27 </w:t>
      </w:r>
      <w:proofErr w:type="spellStart"/>
      <w:r w:rsidRPr="00664F5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64F59">
        <w:rPr>
          <w:rFonts w:ascii="Times New Roman" w:hAnsi="Times New Roman" w:cs="Times New Roman"/>
          <w:sz w:val="24"/>
          <w:szCs w:val="24"/>
        </w:rPr>
        <w:t xml:space="preserve"> РФ (не</w:t>
      </w:r>
      <w:r w:rsidR="00E449D3">
        <w:rPr>
          <w:rFonts w:ascii="Times New Roman" w:hAnsi="Times New Roman" w:cs="Times New Roman"/>
          <w:sz w:val="24"/>
          <w:szCs w:val="24"/>
        </w:rPr>
        <w:t xml:space="preserve"> </w:t>
      </w:r>
      <w:r w:rsidRPr="00664F59">
        <w:rPr>
          <w:rFonts w:ascii="Times New Roman" w:hAnsi="Times New Roman" w:cs="Times New Roman"/>
          <w:sz w:val="24"/>
          <w:szCs w:val="24"/>
        </w:rPr>
        <w:t>размещение в сети Интернет информации о деятельности органов местного самоуправления).</w:t>
      </w:r>
    </w:p>
    <w:p w:rsidR="00664F59" w:rsidRDefault="00664F59" w:rsidP="00664F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59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 находятся на рассмотрении.</w:t>
      </w:r>
    </w:p>
    <w:p w:rsidR="00CA073A" w:rsidRPr="00664F59" w:rsidRDefault="00CA073A" w:rsidP="00664F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Матюшкин С.Е.разъясняет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73A" w:rsidRPr="00CA073A" w:rsidRDefault="00CA073A" w:rsidP="00CA073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73A">
        <w:rPr>
          <w:rFonts w:ascii="Times New Roman" w:eastAsia="Calibri" w:hAnsi="Times New Roman" w:cs="Times New Roman"/>
          <w:b/>
          <w:sz w:val="24"/>
          <w:szCs w:val="24"/>
        </w:rPr>
        <w:t>Обеспечение средствами реабилитации детей-инвалидов</w:t>
      </w:r>
    </w:p>
    <w:p w:rsidR="00CA073A" w:rsidRPr="00CA073A" w:rsidRDefault="00CA073A" w:rsidP="00CA0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Порядок обеспечения инвалидов, в т.ч. детей, техническими средствами реабилитации установлен постановлением Правительства РФ от 07.04.2008 № 240.</w:t>
      </w:r>
    </w:p>
    <w:p w:rsidR="00CA073A" w:rsidRPr="00CA073A" w:rsidRDefault="00CA073A" w:rsidP="00CA0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Для получения технического средства, предусмотренного индивидуальной программой реабилитации и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ребенка, его законному представителю следует подать в территориальный орган Фонда социального страхования РФ по месту жительства заявление, которое подлежит рассмотрению в 15-дневный срок. </w:t>
      </w:r>
    </w:p>
    <w:p w:rsidR="00CA073A" w:rsidRPr="00CA073A" w:rsidRDefault="00CA073A" w:rsidP="00CA0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При наличии государственного контракта на поставку требуемого технического средства направление на его получение выдается сразу, а при отсутствии заявление учитывается и после заключения контракта направление выдается в 7-дневный срок.</w:t>
      </w:r>
    </w:p>
    <w:p w:rsidR="00CA073A" w:rsidRPr="00CA073A" w:rsidRDefault="00CA073A" w:rsidP="00CA0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Законный представитель ребенка вправе получить компенсацию за самостоятельно приобретенное техническое средство реабилитации в порядке, установленном приказом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России от 31.01.2011 № 57-н. </w:t>
      </w:r>
    </w:p>
    <w:p w:rsidR="00CA073A" w:rsidRPr="00CA073A" w:rsidRDefault="00CA073A" w:rsidP="00CA0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Размер компенсации определяется в соответствии со стоимостью аналогичного реабилитационного средства, приобретенного Фондом в рамках последнего заключенного государственного контракта, обязательства сторон по которому на момент обращения исполнены.</w:t>
      </w:r>
    </w:p>
    <w:p w:rsidR="00CA073A" w:rsidRPr="00CA073A" w:rsidRDefault="00CA073A" w:rsidP="00CA07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Решение территориального органа по заявлению законного представителя может быть обжаловано в Фонд социального страхования Российской Федерации либо в прокуратуру района по месту жительства, а также в суд.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Матюшкин С.Е.разъясняет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73A" w:rsidRPr="00CA073A" w:rsidRDefault="00CA073A" w:rsidP="00CA07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b/>
          <w:sz w:val="24"/>
          <w:szCs w:val="24"/>
        </w:rPr>
        <w:t>Усилена ответственность за управление автомобилем без прав</w:t>
      </w:r>
    </w:p>
    <w:p w:rsidR="00CA073A" w:rsidRPr="00CA073A" w:rsidRDefault="00CA073A" w:rsidP="00CA07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sz w:val="24"/>
          <w:szCs w:val="24"/>
        </w:rPr>
        <w:t xml:space="preserve">Если ранее административная ответственность была установлена за вождение транспортным средством водителем, не имеющим права управления или лишенного прав, то с 25.07.2022 дополнительно введено наказание по </w:t>
      </w:r>
      <w:proofErr w:type="gramStart"/>
      <w:r w:rsidRPr="00CA073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CA073A">
        <w:rPr>
          <w:rFonts w:ascii="Times New Roman" w:eastAsia="Times New Roman" w:hAnsi="Times New Roman" w:cs="Times New Roman"/>
          <w:sz w:val="24"/>
          <w:szCs w:val="24"/>
        </w:rPr>
        <w:t>. 4 ст. 12.7 Кодекса РФ об административных правонарушениях за названные действия, совершенные повторно при условии, что они не содержат признаков уголовно наказуемого деяния.</w:t>
      </w:r>
    </w:p>
    <w:p w:rsidR="00CA073A" w:rsidRPr="00CA073A" w:rsidRDefault="00CA073A" w:rsidP="00CA07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sz w:val="24"/>
          <w:szCs w:val="24"/>
        </w:rPr>
        <w:t>Ответственность предусмотрена в виде штрафа от 50 до 100 тыс. руб. либо обязательных работ от 150 до 200 часов.</w:t>
      </w:r>
    </w:p>
    <w:p w:rsidR="00CA073A" w:rsidRPr="00CA073A" w:rsidRDefault="00CA073A" w:rsidP="00CA07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sz w:val="24"/>
          <w:szCs w:val="24"/>
        </w:rPr>
        <w:t>При этом уплата штрафа в половинном размере в 20-дневный срок со дня вступления постановления о наказании в законную силу, как это предусмотрено за совершение многих административных правонарушений за неисполнение правил дорожного движения, в данном случае исключена.</w:t>
      </w:r>
    </w:p>
    <w:p w:rsidR="00CA073A" w:rsidRPr="00CA073A" w:rsidRDefault="00CA073A" w:rsidP="00CA07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73A">
        <w:rPr>
          <w:rFonts w:ascii="Times New Roman" w:eastAsia="Times New Roman" w:hAnsi="Times New Roman" w:cs="Times New Roman"/>
          <w:sz w:val="24"/>
          <w:szCs w:val="24"/>
        </w:rPr>
        <w:t>Одновременно  в Уголовный кодекс Российской Федерации введена новая статья  (264.3 УК РФ) об ответственности за управление автомобилем лицом, лишенным прав и подвергнутым административному наказанию по названной выше статье либо имеющим судимость за нарушение правил дорожного движения повлекших по неосторожности тяжкий вред здоровью, смерть человека или смерть 2-х и более лиц по ст. 264 УК РФ.</w:t>
      </w:r>
      <w:proofErr w:type="gramEnd"/>
    </w:p>
    <w:p w:rsidR="00CA073A" w:rsidRPr="00CA073A" w:rsidRDefault="00CA073A" w:rsidP="00CA07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sz w:val="24"/>
          <w:szCs w:val="24"/>
        </w:rPr>
        <w:t>Максимальное наказание за названное деяние – 2 года лишения свободы с лишением права заниматься определенной деятельность на 3 года.</w:t>
      </w:r>
    </w:p>
    <w:p w:rsidR="00CA073A" w:rsidRPr="00CA073A" w:rsidRDefault="00CA073A" w:rsidP="00CA07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73A">
        <w:rPr>
          <w:rFonts w:ascii="Times New Roman" w:eastAsia="Times New Roman" w:hAnsi="Times New Roman" w:cs="Times New Roman"/>
          <w:sz w:val="24"/>
          <w:szCs w:val="24"/>
        </w:rPr>
        <w:t>Также внесены изменения в ст. 264 УК РФ об ответственности за нарушение правил дорожного движения, повлекших перечисленные выше последствия, совершенные водителем, не имеющим или лишенным прав управления транспортным средством, а также оставившим место происшествия, предусматривающая значительные сроки лишения свободы (до 15 лет).</w:t>
      </w:r>
      <w:proofErr w:type="gramEnd"/>
    </w:p>
    <w:p w:rsidR="00CA073A" w:rsidRPr="00CA073A" w:rsidRDefault="00CA073A" w:rsidP="00CA07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sz w:val="24"/>
          <w:szCs w:val="24"/>
        </w:rPr>
        <w:lastRenderedPageBreak/>
        <w:t>Садясь за руль, соблюдайте правила дорожного движения. Помните, что от вас зависит собственная жизнь и жизнь окружающих.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Матюшкин С.Е.разъясняет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73A" w:rsidRPr="00CA073A" w:rsidRDefault="00CA073A" w:rsidP="00CA07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b/>
          <w:bCs/>
          <w:sz w:val="24"/>
          <w:szCs w:val="24"/>
        </w:rPr>
        <w:t>С 1 декабря 2022 года вводятся цифровые полисы ОМС, поэтому для получения медпомощи достаточно предъявить паспорт или свидетельство о рождении</w:t>
      </w:r>
    </w:p>
    <w:p w:rsidR="00CA073A" w:rsidRPr="00CA073A" w:rsidRDefault="00CA073A" w:rsidP="00CA07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A073A" w:rsidRPr="00CA073A" w:rsidRDefault="00CA073A" w:rsidP="00CA07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Всем застрахованным в ОМС в системе обязательного медицинского страхования, актуализировавшим свои данные о документах, удостоверяющих личность, с 1 декабря 2022 года будут доступны цифровые полисы. Ранее оформленные полисы ОМС на материальных носителях продолжают действовать и не требуют замены.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Матюшкин С.Е.разъясняет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73A" w:rsidRPr="00CA073A" w:rsidRDefault="00CA073A" w:rsidP="00CA0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7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возобновления государственного учета транспортного средства, учет которого был ранее прекращен в связи со смертью владельца транспортного средства</w:t>
      </w:r>
    </w:p>
    <w:p w:rsidR="00CA073A" w:rsidRPr="00CA073A" w:rsidRDefault="00CA073A" w:rsidP="00CA0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73A" w:rsidRPr="00CA073A" w:rsidRDefault="00CA073A" w:rsidP="00CA07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073A">
        <w:rPr>
          <w:rFonts w:ascii="Times New Roman" w:eastAsia="Calibri" w:hAnsi="Times New Roman" w:cs="Times New Roman"/>
          <w:sz w:val="24"/>
          <w:szCs w:val="24"/>
        </w:rPr>
        <w:t>Согласно п. 58 Постановления Правительства от 21.12.2019 №1764 «О государственной регистрации транспортных средств в регистрационных подразделениях ГИБДД МВД Российской Федерации» прекращение государственного учета транспортного средства при наличии сведений о смерти владельца транспортного средства либо о ликвидации юридического лица, являющегося владельцем транспортного средства, или о прекращении физическим лицом, являющимся владельцем транспортного средства, деятельности в качестве индивидуального предпринимателя, а также при наличии</w:t>
      </w:r>
      <w:proofErr w:type="gram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сведений о прекращении опеки (попечительства) над собственником транспортного средства осуществляется регистрационным подразделением на основании решения уполномоченного должностного лица регистрационного подразделения.</w:t>
      </w:r>
    </w:p>
    <w:p w:rsidR="00CA073A" w:rsidRPr="00CA073A" w:rsidRDefault="00CA073A" w:rsidP="00CA07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Согласно п. 61 Постановления Правительства от 21.12.2019 №1764 при прекращении государственного учета транспортного средства в соответствии с пунктами 56, 58 - 60 настоящих Правил, государственные регистрационные знаки, за исключением принятых регистрационными подразделениями на сохранение, и регистрационные документы признаются недействительными и вносятся регистрационным подразделением в соответствующие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разыскные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учеты утраченной специальной продукции Госавтоинспекции.</w:t>
      </w:r>
    </w:p>
    <w:p w:rsidR="00CA073A" w:rsidRPr="00CA073A" w:rsidRDefault="00CA073A" w:rsidP="00CA07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Согласно п. 67 Постановления Правительства от 21.12.2019 №1764 возобновление государственного учета транспортного средства производится регистрационным подразделением по месту обращения владельца транспортного средства с выдачей нового регистрационного документа.</w:t>
      </w:r>
    </w:p>
    <w:p w:rsidR="00CA073A" w:rsidRPr="00CA073A" w:rsidRDefault="00CA073A" w:rsidP="00CA07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Возобновление государственного учета транспортного средства, за исключением случаев, предусмотренных пунктом 68 настоящих Правил, осуществляется с присвоением государственного регистрационного номера. </w:t>
      </w:r>
      <w:proofErr w:type="gramStart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При возобновлении государственного учета транспортного средства, учет которого прекращен в связи со смертью владельца транспортного средства в соответствии с пунктом 58 настоящих Правил, при наличии волеизъявления нового владельца, являющегося наследником, государственные регистрационные знаки, признанные в соответствии с пунктом 61 настоящих Правил недействительными и внесенные регистрационным подразделением в соответствующие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разыскные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учеты утраченной специальной продукции Госавтоинспекции, исключаются из числа разыскиваемых и сохраняются</w:t>
      </w:r>
      <w:proofErr w:type="gram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за транспортным средством.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Матюшкин С.Е.разъясняет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73A" w:rsidRPr="00CA073A" w:rsidRDefault="00CA073A" w:rsidP="00CA07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73A">
        <w:rPr>
          <w:rFonts w:ascii="Times New Roman" w:hAnsi="Times New Roman" w:cs="Times New Roman"/>
          <w:b/>
          <w:sz w:val="24"/>
          <w:szCs w:val="24"/>
        </w:rPr>
        <w:t>Кто может заниматься профессиональной деятельностью по выдаче потребительских займов</w:t>
      </w:r>
    </w:p>
    <w:p w:rsidR="00CA073A" w:rsidRPr="00CA073A" w:rsidRDefault="00CA073A" w:rsidP="00CA07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A073A" w:rsidRPr="00CA073A" w:rsidRDefault="00CA073A" w:rsidP="00CA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организация выдает денежные займы потребителям, это уже является признаком профессиональной деятельности по предоставлению потребительских займов. Исключением являются займы своим работникам,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физлицам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- учредителям (участникам) или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аффилированным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лицам и займы, которые брокер предоставляет клиенту для совершения сделок купли-продажи ценных бумаг (п. 5 ч. 1 ст. 3 Закона о потребительском кредите).</w:t>
      </w:r>
    </w:p>
    <w:p w:rsidR="00CA073A" w:rsidRPr="00CA073A" w:rsidRDefault="00CA073A" w:rsidP="00CA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Вести такую деятельность могут только подконтрольные Банку России организации - профессиональные кредиторы: кредитные и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некредитные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финансовые организации на основании специальных законов (ст. 4 Закона о потребительском кредите). К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некредитным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финансовым организациям, в частности, относятся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микрофинансовые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организации, ломбарды, кредитные потребительские кооперативы, сельскохозяйственные кредитные потребительские кооперативы. При заключении договоров с потребителями они должны соблюдать специальные требования, установленные Законом о потребительском кредите и другими законами, например Законом о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микрофинансовых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организациях.</w:t>
      </w:r>
    </w:p>
    <w:p w:rsidR="00CA073A" w:rsidRPr="00CA073A" w:rsidRDefault="00CA073A" w:rsidP="00CA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Данные организации вправе выдавать займы за счет поступивших в их кассы наличных денег (полученных, например, по договору займа), если соблюдаются следующие условия:</w:t>
      </w:r>
    </w:p>
    <w:p w:rsidR="00CA073A" w:rsidRPr="00CA073A" w:rsidRDefault="00CA073A" w:rsidP="00CA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микрофинансовая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организация, ломбард может расходовать на эту цель по одному договору не более 50 тыс. руб. В течение одного дня можно выдать из кассы не более 1 </w:t>
      </w:r>
      <w:proofErr w:type="spellStart"/>
      <w:proofErr w:type="gramStart"/>
      <w:r w:rsidRPr="00CA073A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руб. в расчете на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микрофинансовую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организацию (ее обособленное подразделение), ломбард (его обособленное подразделение) (п. 1 Указания Банка России от 09.12.2019 N 5348-У);</w:t>
      </w:r>
    </w:p>
    <w:p w:rsidR="00CA073A" w:rsidRPr="00CA073A" w:rsidRDefault="00CA073A" w:rsidP="00CA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кредитный потребительский кооператив и сельскохозяйственный кредитный потребительский кооператив вправе расходовать на эту цель по одному договору не более 100 тыс. руб. В течение одного дня можно выдать не более 2 </w:t>
      </w:r>
      <w:proofErr w:type="spellStart"/>
      <w:proofErr w:type="gramStart"/>
      <w:r w:rsidRPr="00CA073A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руб. в расчете на кооператив (его обособленное подразделение) (п. 1 Указания Банка России от 09.12.2019 N 5348-У).</w:t>
      </w:r>
    </w:p>
    <w:p w:rsidR="00CA073A" w:rsidRPr="00CA073A" w:rsidRDefault="00CA073A" w:rsidP="00CA07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Если организация не имеет право в соответствии с законодательством о потребительском кредите (займе) предоставлять займы (в том числе те, обязательства заемщика по которым обеспечены ипотекой), ей нельзя заниматься указанной деятельностью. Иначе ее могут оштрафовать или приостановить деятельность по ст. 14.56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РФ. Руководителя организации могут привлечь к уголовной ответственности по ст. 171.5 УК РФ, если он ранее подвергнут административной ответственности по ч. 2 ст. 14.56 </w:t>
      </w:r>
      <w:proofErr w:type="spellStart"/>
      <w:r w:rsidRPr="00CA073A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РФ и сумма выданных потребительских кредитов (займов) превышает 2 </w:t>
      </w:r>
      <w:proofErr w:type="spellStart"/>
      <w:proofErr w:type="gramStart"/>
      <w:r w:rsidRPr="00CA073A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250 тыс. руб.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73A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Матюшкин С.Е.разъясняет</w:t>
      </w:r>
    </w:p>
    <w:p w:rsidR="00CA073A" w:rsidRPr="00CA073A" w:rsidRDefault="00CA073A" w:rsidP="00CA07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73A" w:rsidRPr="00CA073A" w:rsidRDefault="00CA073A" w:rsidP="00CA07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73A">
        <w:rPr>
          <w:rFonts w:ascii="Times New Roman" w:eastAsia="Calibri" w:hAnsi="Times New Roman" w:cs="Times New Roman"/>
          <w:b/>
          <w:sz w:val="24"/>
          <w:szCs w:val="24"/>
        </w:rPr>
        <w:t>С 1 марта 2023 года образовательные и медицинские организации подключаются к газораспределительным сетям без взимания с них платы</w:t>
      </w:r>
    </w:p>
    <w:p w:rsidR="00CA073A" w:rsidRPr="00CA073A" w:rsidRDefault="00CA073A" w:rsidP="00CA07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A073A" w:rsidRPr="00CA073A" w:rsidRDefault="00CA073A" w:rsidP="00CA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073A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РФ от 30.11.2022 № 2187 «О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г. № 950» подключать к газораспределительным сетям без взимания платы будут объекты капитального строительства, в которых располагаются лицензированные государственные или муниципальные общеобразовательные организации, а также дошкольные образовательные организации, и</w:t>
      </w:r>
      <w:proofErr w:type="gramEnd"/>
      <w:r w:rsidRPr="00CA073A">
        <w:rPr>
          <w:rFonts w:ascii="Times New Roman" w:eastAsia="Calibri" w:hAnsi="Times New Roman" w:cs="Times New Roman"/>
          <w:sz w:val="24"/>
          <w:szCs w:val="24"/>
        </w:rPr>
        <w:t xml:space="preserve"> лицензированные медицинские организации государственной и муниципальной системы здравоохранения.</w:t>
      </w:r>
    </w:p>
    <w:p w:rsidR="00CA073A" w:rsidRPr="00CA073A" w:rsidRDefault="00CA073A" w:rsidP="00CA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Также без взимания платы будет осуществляться подключение к газораспределительным сетям оборудования, расположенного в домах граждан, намеревающихся использовать газ для удовлетворения личных и иных нужд, не связанных с осуществлением предпринимательской деятельности. При этом в населенных пунктах, где находятся указанные объекты капитального строительства и дома граждан, должны быть проложены газораспределительные сети и осуществляться транспортировка газа.</w:t>
      </w:r>
    </w:p>
    <w:p w:rsidR="00CA073A" w:rsidRDefault="00CA073A" w:rsidP="00CA073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73A">
        <w:rPr>
          <w:rFonts w:ascii="Times New Roman" w:eastAsia="Calibri" w:hAnsi="Times New Roman" w:cs="Times New Roman"/>
          <w:sz w:val="24"/>
          <w:szCs w:val="24"/>
        </w:rPr>
        <w:t>Установлено, что основные положения формирования и государственного регулирования цен на газ, утвержденные Постановлением Правительства РФ от 29 декабря 2000 года № 1021, действуют 6 лет со дня вступления в силу настоящего Постановления.</w:t>
      </w:r>
    </w:p>
    <w:p w:rsidR="000243F2" w:rsidRPr="000243F2" w:rsidRDefault="000243F2" w:rsidP="00CA073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3F2" w:rsidRPr="000243F2" w:rsidRDefault="000243F2" w:rsidP="000243F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F2">
        <w:rPr>
          <w:rFonts w:ascii="Times New Roman" w:hAnsi="Times New Roman" w:cs="Times New Roman"/>
          <w:b/>
          <w:bCs/>
          <w:sz w:val="24"/>
          <w:szCs w:val="24"/>
        </w:rPr>
        <w:t>АДМИНИСТРАЦИЯ НАГОВСКОГО СЕЛЬСКОГО ПОСЕЛЕНИЯ</w:t>
      </w:r>
    </w:p>
    <w:p w:rsidR="000243F2" w:rsidRPr="000243F2" w:rsidRDefault="000243F2" w:rsidP="00024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43F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243F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0243F2" w:rsidRPr="000243F2" w:rsidRDefault="000243F2" w:rsidP="000243F2">
      <w:pPr>
        <w:spacing w:before="4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3F2">
        <w:rPr>
          <w:rFonts w:ascii="Times New Roman" w:hAnsi="Times New Roman" w:cs="Times New Roman"/>
          <w:b/>
          <w:bCs/>
          <w:sz w:val="24"/>
          <w:szCs w:val="24"/>
        </w:rPr>
        <w:t xml:space="preserve">от  12.12.2022    №200  </w:t>
      </w:r>
    </w:p>
    <w:p w:rsidR="000243F2" w:rsidRPr="000243F2" w:rsidRDefault="000243F2" w:rsidP="0002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tbl>
      <w:tblPr>
        <w:tblW w:w="0" w:type="auto"/>
        <w:tblLook w:val="04A0"/>
      </w:tblPr>
      <w:tblGrid>
        <w:gridCol w:w="9889"/>
        <w:gridCol w:w="299"/>
      </w:tblGrid>
      <w:tr w:rsidR="000243F2" w:rsidRPr="000243F2" w:rsidTr="000243F2">
        <w:trPr>
          <w:trHeight w:val="183"/>
        </w:trPr>
        <w:tc>
          <w:tcPr>
            <w:tcW w:w="9889" w:type="dxa"/>
            <w:hideMark/>
          </w:tcPr>
          <w:p w:rsidR="000243F2" w:rsidRPr="000243F2" w:rsidRDefault="000243F2" w:rsidP="000243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«Управление муниципальным имуществом и земельными ресурсами </w:t>
            </w:r>
            <w:proofErr w:type="spellStart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2022-2025 годы»</w:t>
            </w:r>
          </w:p>
        </w:tc>
        <w:tc>
          <w:tcPr>
            <w:tcW w:w="299" w:type="dxa"/>
          </w:tcPr>
          <w:p w:rsidR="000243F2" w:rsidRPr="000243F2" w:rsidRDefault="000243F2" w:rsidP="000243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43F2" w:rsidRPr="000243F2" w:rsidRDefault="000243F2" w:rsidP="000243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243F2" w:rsidRPr="000243F2" w:rsidRDefault="000243F2" w:rsidP="0002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    Администрация 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43F2" w:rsidRPr="000243F2" w:rsidRDefault="000243F2" w:rsidP="0002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243F2" w:rsidRPr="000243F2" w:rsidRDefault="000243F2" w:rsidP="000243F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Внести в муниципальную программу «</w:t>
      </w:r>
      <w:r w:rsidRPr="000243F2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proofErr w:type="gramStart"/>
      <w:r w:rsidRPr="000243F2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proofErr w:type="gramEnd"/>
      <w:r w:rsidRPr="000243F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243F2" w:rsidRPr="000243F2" w:rsidRDefault="000243F2" w:rsidP="000243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F2">
        <w:rPr>
          <w:rFonts w:ascii="Times New Roman" w:hAnsi="Times New Roman" w:cs="Times New Roman"/>
          <w:bCs/>
          <w:sz w:val="24"/>
          <w:szCs w:val="24"/>
        </w:rPr>
        <w:t xml:space="preserve">имуществом и земельными ресурсами </w:t>
      </w:r>
      <w:proofErr w:type="spellStart"/>
      <w:r w:rsidRPr="000243F2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2022-2025 годы</w:t>
      </w:r>
      <w:r w:rsidRPr="000243F2">
        <w:rPr>
          <w:rFonts w:ascii="Times New Roman" w:hAnsi="Times New Roman" w:cs="Times New Roman"/>
          <w:sz w:val="24"/>
          <w:szCs w:val="24"/>
        </w:rPr>
        <w:t xml:space="preserve">», утверждённую постановлением Администрации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 от 25.10.2021 № 135, изменения, изложив её в новой редакции с изменением именования программы.    </w:t>
      </w:r>
    </w:p>
    <w:p w:rsidR="000243F2" w:rsidRPr="000243F2" w:rsidRDefault="000243F2" w:rsidP="000243F2">
      <w:pPr>
        <w:ind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F2">
        <w:rPr>
          <w:rFonts w:ascii="Times New Roman" w:hAnsi="Times New Roman" w:cs="Times New Roman"/>
          <w:bCs/>
          <w:sz w:val="24"/>
          <w:szCs w:val="24"/>
        </w:rPr>
        <w:t xml:space="preserve">2. Утвердить   муниципальную программу в новой редакции: «Управление муниципальным имуществом,  использование и охрана земель </w:t>
      </w:r>
      <w:proofErr w:type="spellStart"/>
      <w:r w:rsidRPr="000243F2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2022-2025 годы» .</w:t>
      </w:r>
    </w:p>
    <w:p w:rsidR="000243F2" w:rsidRPr="000243F2" w:rsidRDefault="000243F2" w:rsidP="000243F2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муниципальной газете «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0243F2" w:rsidRPr="000243F2" w:rsidRDefault="000243F2" w:rsidP="00024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 xml:space="preserve">Заместитель Главы  администрации </w:t>
      </w:r>
    </w:p>
    <w:p w:rsidR="000243F2" w:rsidRPr="000243F2" w:rsidRDefault="000243F2" w:rsidP="00024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43F2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В.К. Лукина</w:t>
      </w:r>
    </w:p>
    <w:p w:rsidR="000243F2" w:rsidRPr="000243F2" w:rsidRDefault="000243F2" w:rsidP="000243F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243F2" w:rsidRPr="000243F2" w:rsidRDefault="000243F2" w:rsidP="000243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Утверждена                                                                                                                                                                                       </w:t>
      </w:r>
    </w:p>
    <w:p w:rsidR="000243F2" w:rsidRPr="000243F2" w:rsidRDefault="000243F2" w:rsidP="000243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постановлением Администрации </w:t>
      </w:r>
    </w:p>
    <w:p w:rsidR="000243F2" w:rsidRPr="000243F2" w:rsidRDefault="000243F2" w:rsidP="000243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43F2" w:rsidRPr="000243F2" w:rsidRDefault="000243F2" w:rsidP="000243F2">
      <w:pPr>
        <w:tabs>
          <w:tab w:val="left" w:pos="5100"/>
          <w:tab w:val="left" w:pos="76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 12.12.2022       №200   </w:t>
      </w:r>
    </w:p>
    <w:p w:rsidR="000243F2" w:rsidRPr="000243F2" w:rsidRDefault="000243F2" w:rsidP="000243F2">
      <w:pPr>
        <w:tabs>
          <w:tab w:val="left" w:pos="5100"/>
          <w:tab w:val="left" w:pos="76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43F2" w:rsidRPr="000243F2" w:rsidRDefault="000243F2" w:rsidP="000243F2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F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 w:rsidRPr="000243F2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243F2" w:rsidRPr="000243F2" w:rsidRDefault="000243F2" w:rsidP="000243F2">
      <w:pPr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«</w:t>
      </w:r>
      <w:r w:rsidRPr="000243F2">
        <w:rPr>
          <w:rFonts w:ascii="Times New Roman" w:hAnsi="Times New Roman" w:cs="Times New Roman"/>
          <w:bCs/>
          <w:sz w:val="24"/>
          <w:szCs w:val="24"/>
        </w:rPr>
        <w:t xml:space="preserve">Управление муниципальным имуществом, использование и охрана земель </w:t>
      </w:r>
      <w:proofErr w:type="spellStart"/>
      <w:r w:rsidRPr="000243F2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2022-2025 годы</w:t>
      </w:r>
      <w:r w:rsidRPr="000243F2">
        <w:rPr>
          <w:rFonts w:ascii="Times New Roman" w:hAnsi="Times New Roman" w:cs="Times New Roman"/>
          <w:sz w:val="24"/>
          <w:szCs w:val="24"/>
        </w:rPr>
        <w:t>»</w:t>
      </w:r>
    </w:p>
    <w:p w:rsidR="000243F2" w:rsidRPr="000243F2" w:rsidRDefault="000243F2" w:rsidP="000243F2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F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243F2" w:rsidRPr="000243F2" w:rsidRDefault="000243F2" w:rsidP="000243F2">
      <w:pPr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243F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0243F2" w:rsidRPr="000243F2" w:rsidRDefault="000243F2" w:rsidP="000243F2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>1.</w:t>
      </w:r>
      <w:r w:rsidRPr="000243F2">
        <w:rPr>
          <w:rFonts w:ascii="Times New Roman" w:hAnsi="Times New Roman" w:cs="Times New Roman"/>
          <w:sz w:val="24"/>
          <w:szCs w:val="24"/>
        </w:rPr>
        <w:t xml:space="preserve"> </w:t>
      </w:r>
      <w:r w:rsidRPr="000243F2">
        <w:rPr>
          <w:rFonts w:ascii="Times New Roman" w:eastAsia="Calibri" w:hAnsi="Times New Roman" w:cs="Times New Roman"/>
          <w:b/>
          <w:sz w:val="24"/>
          <w:szCs w:val="24"/>
        </w:rPr>
        <w:t>Наименование муниципальной программы:</w:t>
      </w:r>
      <w:r w:rsidRPr="00024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3F2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  <w:proofErr w:type="spellStart"/>
      <w:r w:rsidRPr="000243F2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243F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243F2">
        <w:rPr>
          <w:rFonts w:ascii="Times New Roman" w:hAnsi="Times New Roman" w:cs="Times New Roman"/>
          <w:bCs/>
          <w:sz w:val="24"/>
          <w:szCs w:val="24"/>
        </w:rPr>
        <w:t xml:space="preserve">Управление муниципальным имуществом, использование и охрана земель </w:t>
      </w:r>
      <w:proofErr w:type="spellStart"/>
      <w:r w:rsidRPr="000243F2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2022-2025 годы»</w:t>
      </w:r>
      <w:r w:rsidRPr="000243F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(далее - </w:t>
      </w:r>
      <w:r w:rsidRPr="000243F2">
        <w:rPr>
          <w:rFonts w:ascii="Times New Roman" w:hAnsi="Times New Roman" w:cs="Times New Roman"/>
          <w:bCs/>
          <w:sz w:val="24"/>
          <w:szCs w:val="24"/>
        </w:rPr>
        <w:t>Муниципальная программа).</w:t>
      </w:r>
    </w:p>
    <w:p w:rsidR="000243F2" w:rsidRPr="000243F2" w:rsidRDefault="000243F2" w:rsidP="000243F2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>2. Ответственный исполнитель муниципальной программы:</w:t>
      </w:r>
      <w:r w:rsidRPr="000243F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Администрация);</w:t>
      </w:r>
    </w:p>
    <w:p w:rsidR="000243F2" w:rsidRPr="000243F2" w:rsidRDefault="000243F2" w:rsidP="000243F2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>3. Соисполнители муниципальной программы:</w:t>
      </w:r>
      <w:r w:rsidRPr="000243F2"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0243F2" w:rsidRPr="000243F2" w:rsidRDefault="000243F2" w:rsidP="000243F2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Подпрограммы муниципальной программы: </w:t>
      </w:r>
      <w:r w:rsidRPr="000243F2">
        <w:rPr>
          <w:rFonts w:ascii="Times New Roman" w:hAnsi="Times New Roman" w:cs="Times New Roman"/>
          <w:sz w:val="24"/>
          <w:szCs w:val="24"/>
        </w:rPr>
        <w:t>отсутствуют</w:t>
      </w:r>
    </w:p>
    <w:p w:rsidR="000243F2" w:rsidRPr="000243F2" w:rsidRDefault="000243F2" w:rsidP="000243F2">
      <w:pPr>
        <w:autoSpaceDN w:val="0"/>
        <w:adjustRightInd w:val="0"/>
        <w:spacing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>5. Цели, задачи и целевые показатели муниципальной программы:</w:t>
      </w:r>
    </w:p>
    <w:tbl>
      <w:tblPr>
        <w:tblW w:w="102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9"/>
        <w:gridCol w:w="3824"/>
        <w:gridCol w:w="1007"/>
        <w:gridCol w:w="1531"/>
        <w:gridCol w:w="1649"/>
        <w:gridCol w:w="1385"/>
      </w:tblGrid>
      <w:tr w:rsidR="000243F2" w:rsidRPr="000243F2" w:rsidTr="000243F2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наименование и 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 целевого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0243F2" w:rsidRPr="000243F2" w:rsidTr="000243F2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243F2" w:rsidRPr="000243F2" w:rsidTr="000243F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3F2" w:rsidRPr="000243F2" w:rsidTr="000243F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1: Повышение эффективности управления муниципальным имуществом </w:t>
            </w:r>
            <w:proofErr w:type="spellStart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0243F2" w:rsidRPr="000243F2" w:rsidTr="000243F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1:  Вовлечение в оборот земельных долей из земель сельскохозяйственного назначения, находящихся в собственности </w:t>
            </w:r>
            <w:proofErr w:type="spellStart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0243F2" w:rsidRPr="000243F2" w:rsidTr="000243F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оформлением межевого плана и Проекта межевания земельных участков, (</w:t>
            </w:r>
            <w:proofErr w:type="spellStart"/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3F2" w:rsidRPr="000243F2" w:rsidTr="000243F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3F2" w:rsidRPr="000243F2" w:rsidTr="000243F2"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0243F2" w:rsidRPr="000243F2" w:rsidTr="000243F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1.Совершенствование системы информационного обеспечения в сфере управления муниципальным имуществом                   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и иной оргтехники, а также программных продуктов (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) (ед.)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3: </w:t>
            </w:r>
            <w:r w:rsidRPr="00024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Повышение эффективности использования и охраны земель на территории </w:t>
            </w:r>
            <w:proofErr w:type="spellStart"/>
            <w:r w:rsidRPr="00024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  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и навалов мусора (ед.)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 Проведение инвентаризации земель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</w:t>
            </w:r>
          </w:p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(Доля проконсультированных  граждан в сфере земельного законодательства РФ</w:t>
            </w:r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, % )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3: </w:t>
            </w:r>
            <w:r w:rsidRPr="00024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Сохранение и восстановление земель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 проведением земляных работ на территории  сельского поселения (Объем проведённых проверок в сфере производства земляных работ</w:t>
            </w:r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,  % ) 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43F2" w:rsidRPr="000243F2" w:rsidTr="000243F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43F2" w:rsidRPr="000243F2" w:rsidRDefault="000243F2" w:rsidP="000243F2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0243F2" w:rsidRPr="000243F2" w:rsidRDefault="000243F2" w:rsidP="000243F2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Основными источниками информации по  целевым показателям являются следующие:</w:t>
      </w:r>
    </w:p>
    <w:p w:rsidR="000243F2" w:rsidRPr="000243F2" w:rsidRDefault="000243F2" w:rsidP="000243F2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Администрация сельского поселения.</w:t>
      </w:r>
    </w:p>
    <w:p w:rsidR="000243F2" w:rsidRPr="000243F2" w:rsidRDefault="000243F2" w:rsidP="000243F2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определяются на основе данных ведомственной отчётности.</w:t>
      </w:r>
    </w:p>
    <w:p w:rsidR="000243F2" w:rsidRPr="000243F2" w:rsidRDefault="000243F2" w:rsidP="000243F2"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       6. Сроки реализации муниципальной программы: 2022-2025 годы.</w:t>
      </w:r>
    </w:p>
    <w:p w:rsidR="000243F2" w:rsidRPr="000243F2" w:rsidRDefault="000243F2" w:rsidP="000243F2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7. Объемы и источники финансирования муниципальной программы в целом и по годам реализации (тыс. руб.): </w:t>
      </w:r>
      <w:r w:rsidRPr="000243F2">
        <w:rPr>
          <w:rFonts w:ascii="Times New Roman" w:hAnsi="Times New Roman" w:cs="Times New Roman"/>
          <w:b/>
          <w:bCs/>
          <w:sz w:val="24"/>
          <w:szCs w:val="24"/>
        </w:rPr>
        <w:t>821,0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619"/>
        <w:gridCol w:w="1808"/>
        <w:gridCol w:w="1623"/>
        <w:gridCol w:w="2019"/>
        <w:gridCol w:w="1587"/>
      </w:tblGrid>
      <w:tr w:rsidR="000243F2" w:rsidRPr="000243F2" w:rsidTr="000243F2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243F2" w:rsidRPr="000243F2" w:rsidTr="000243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243F2" w:rsidRPr="000243F2" w:rsidTr="000243F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3F2" w:rsidRPr="000243F2" w:rsidTr="000243F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0243F2" w:rsidRPr="000243F2" w:rsidTr="000243F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243F2" w:rsidRPr="000243F2" w:rsidTr="000243F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43F2" w:rsidRPr="000243F2" w:rsidTr="000243F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43F2" w:rsidRPr="000243F2" w:rsidTr="000243F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</w:tr>
    </w:tbl>
    <w:p w:rsid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243F2">
        <w:rPr>
          <w:rFonts w:ascii="Times New Roman" w:hAnsi="Times New Roman" w:cs="Times New Roman"/>
          <w:b/>
          <w:spacing w:val="-8"/>
          <w:sz w:val="24"/>
          <w:szCs w:val="24"/>
        </w:rPr>
        <w:t>8. Ожидаемые конечные результаты реализации муниципальной программы: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0243F2">
        <w:rPr>
          <w:rFonts w:ascii="Times New Roman" w:hAnsi="Times New Roman" w:cs="Times New Roman"/>
          <w:spacing w:val="-8"/>
          <w:sz w:val="24"/>
          <w:szCs w:val="24"/>
        </w:rPr>
        <w:t>Реализация муниципальной программы позволит обеспечить: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43F2">
        <w:rPr>
          <w:rFonts w:ascii="Times New Roman" w:hAnsi="Times New Roman" w:cs="Times New Roman"/>
          <w:sz w:val="24"/>
          <w:szCs w:val="24"/>
        </w:rPr>
        <w:t xml:space="preserve"> - Вовлечение в оборот земельных долей из земель сельскохозяйственного назначения, находящихся в собственности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информационного обеспечения в сфере управления муниципальным имуществом;    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-  Защита земель от захламления отходами производства и потребления, загрязнения, зарастания кустарниками и других негативных воздействий;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- Проведение инвентаризации земель;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- </w:t>
      </w:r>
      <w:r w:rsidRPr="000243F2">
        <w:rPr>
          <w:rFonts w:ascii="Times New Roman" w:hAnsi="Times New Roman" w:cs="Times New Roman"/>
          <w:color w:val="000000"/>
          <w:sz w:val="24"/>
          <w:szCs w:val="24"/>
        </w:rPr>
        <w:t>Сохранение и восстановление земель.</w:t>
      </w:r>
    </w:p>
    <w:p w:rsidR="000243F2" w:rsidRPr="000243F2" w:rsidRDefault="000243F2" w:rsidP="000243F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</w:t>
      </w:r>
      <w:r w:rsidRPr="000243F2">
        <w:rPr>
          <w:rFonts w:ascii="Times New Roman" w:hAnsi="Times New Roman" w:cs="Times New Roman"/>
          <w:b/>
          <w:sz w:val="24"/>
          <w:szCs w:val="24"/>
        </w:rPr>
        <w:t xml:space="preserve">I. Характеристика текущего состояния в сфере </w:t>
      </w:r>
    </w:p>
    <w:p w:rsidR="000243F2" w:rsidRPr="000243F2" w:rsidRDefault="000243F2" w:rsidP="000243F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>земельно-имущественных отношений, приоритеты и цели в данной сфере</w:t>
      </w:r>
    </w:p>
    <w:p w:rsidR="000243F2" w:rsidRPr="000243F2" w:rsidRDefault="000243F2" w:rsidP="00024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eastAsia="Yu Gothic UI" w:hAnsi="Times New Roman" w:cs="Times New Roman"/>
          <w:bCs/>
          <w:sz w:val="24"/>
          <w:szCs w:val="24"/>
        </w:rPr>
        <w:t>Управление муниципальным имуществом,  использование и охрана земель</w:t>
      </w:r>
      <w:r w:rsidRPr="000243F2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Стратегической целью Администрации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повышение эффективности управления  муниципальным имуществом, </w:t>
      </w:r>
      <w:r w:rsidRPr="000243F2">
        <w:rPr>
          <w:rFonts w:ascii="Times New Roman" w:eastAsia="Yu Gothic UI" w:hAnsi="Times New Roman" w:cs="Times New Roman"/>
          <w:bCs/>
          <w:sz w:val="24"/>
          <w:szCs w:val="24"/>
        </w:rPr>
        <w:t>использование и охрана земель.</w:t>
      </w:r>
      <w:r w:rsidRPr="000243F2">
        <w:rPr>
          <w:rFonts w:ascii="Times New Roman" w:hAnsi="Times New Roman" w:cs="Times New Roman"/>
          <w:sz w:val="24"/>
          <w:szCs w:val="24"/>
        </w:rPr>
        <w:t xml:space="preserve">  Для достижения поставленных целей  предполагается выполнение следующих мероприятий: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- проведение кадастровых работ с оформлением межевого плана и Проекта межевания земельных участков.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43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43F2">
        <w:rPr>
          <w:rFonts w:ascii="Times New Roman" w:hAnsi="Times New Roman" w:cs="Times New Roman"/>
          <w:sz w:val="24"/>
          <w:szCs w:val="24"/>
        </w:rPr>
        <w:t xml:space="preserve">роведение оценки рыночной стоимости </w:t>
      </w:r>
      <w:r w:rsidRPr="000243F2">
        <w:rPr>
          <w:rFonts w:ascii="Times New Roman" w:hAnsi="Times New Roman" w:cs="Times New Roman"/>
          <w:spacing w:val="-10"/>
          <w:sz w:val="24"/>
          <w:szCs w:val="24"/>
        </w:rPr>
        <w:t>объектов муниципального имущества;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- защита земель от захламления отходами производства и потребления, загрязнения, зарастания кустарниками и других негативных воздействий;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- проведение инвентаризации земель;</w:t>
      </w:r>
    </w:p>
    <w:p w:rsidR="000243F2" w:rsidRPr="000243F2" w:rsidRDefault="000243F2" w:rsidP="000243F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- </w:t>
      </w:r>
      <w:r w:rsidRPr="000243F2">
        <w:rPr>
          <w:rFonts w:ascii="Times New Roman" w:hAnsi="Times New Roman" w:cs="Times New Roman"/>
          <w:color w:val="000000"/>
          <w:sz w:val="24"/>
          <w:szCs w:val="24"/>
        </w:rPr>
        <w:t>сохранение и восстановление земель.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43F2">
        <w:rPr>
          <w:rFonts w:ascii="Times New Roman" w:hAnsi="Times New Roman" w:cs="Times New Roman"/>
          <w:sz w:val="24"/>
          <w:szCs w:val="24"/>
        </w:rPr>
        <w:t>Реализация данных мероприятий позволит увеличить доход бюджета поселения за счёт  неналоговых поступлений при реализации муниципального имущества  поселения.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43F2">
        <w:rPr>
          <w:rFonts w:ascii="Times New Roman" w:hAnsi="Times New Roman" w:cs="Times New Roman"/>
          <w:sz w:val="24"/>
          <w:szCs w:val="24"/>
        </w:rPr>
        <w:t>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Решение данной задачи создаст условия для эффективного управления недвижимостью, комфортной среды проживания населения на территории поселения.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поселения, а так же охраны земель.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3F2" w:rsidRPr="000243F2" w:rsidRDefault="000243F2" w:rsidP="000243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325"/>
      <w:bookmarkEnd w:id="7"/>
      <w:r w:rsidRPr="000243F2">
        <w:rPr>
          <w:rFonts w:ascii="Times New Roman" w:hAnsi="Times New Roman" w:cs="Times New Roman"/>
          <w:b/>
          <w:sz w:val="24"/>
          <w:szCs w:val="24"/>
        </w:rPr>
        <w:t xml:space="preserve">II. Перечень и анализ </w:t>
      </w:r>
      <w:proofErr w:type="gramStart"/>
      <w:r w:rsidRPr="000243F2">
        <w:rPr>
          <w:rFonts w:ascii="Times New Roman" w:hAnsi="Times New Roman" w:cs="Times New Roman"/>
          <w:b/>
          <w:sz w:val="24"/>
          <w:szCs w:val="24"/>
        </w:rPr>
        <w:t>социальных</w:t>
      </w:r>
      <w:proofErr w:type="gramEnd"/>
      <w:r w:rsidRPr="000243F2">
        <w:rPr>
          <w:rFonts w:ascii="Times New Roman" w:hAnsi="Times New Roman" w:cs="Times New Roman"/>
          <w:b/>
          <w:sz w:val="24"/>
          <w:szCs w:val="24"/>
        </w:rPr>
        <w:t>, финансово-экономических</w:t>
      </w:r>
    </w:p>
    <w:p w:rsidR="000243F2" w:rsidRPr="000243F2" w:rsidRDefault="000243F2" w:rsidP="000243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</w:rPr>
        <w:t>и прочих рисков реализации  муниципальной  программы</w:t>
      </w:r>
    </w:p>
    <w:p w:rsidR="000243F2" w:rsidRPr="000243F2" w:rsidRDefault="000243F2" w:rsidP="00024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зависит от ряда рисков, которые могут в </w:t>
      </w:r>
      <w:r w:rsidRPr="000243F2">
        <w:rPr>
          <w:rFonts w:ascii="Times New Roman" w:hAnsi="Times New Roman" w:cs="Times New Roman"/>
          <w:sz w:val="24"/>
          <w:szCs w:val="24"/>
        </w:rPr>
        <w:lastRenderedPageBreak/>
        <w:t>значительной степени оказать влияние на значение показателей её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К правовым рискам реализации муниципальной программы можно отнести: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риски, связанные с изменениями законодательства (на федеральном и областном уровне);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риски, связанные с судебными спорами.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Указанные риски могут повлиять на показатели эффективности управления муниципальным имуществом.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обеспечение эффективного взаимодействия  органов исполнительной власти  в процессе управления   муниципальным имуществом, </w:t>
      </w:r>
      <w:r w:rsidRPr="000243F2">
        <w:rPr>
          <w:rFonts w:ascii="Times New Roman" w:eastAsia="Yu Gothic UI" w:hAnsi="Times New Roman" w:cs="Times New Roman"/>
          <w:bCs/>
          <w:sz w:val="24"/>
          <w:szCs w:val="24"/>
        </w:rPr>
        <w:t>использования и охраны земель</w:t>
      </w:r>
      <w:r w:rsidRPr="000243F2">
        <w:rPr>
          <w:rFonts w:ascii="Times New Roman" w:hAnsi="Times New Roman" w:cs="Times New Roman"/>
          <w:sz w:val="24"/>
          <w:szCs w:val="24"/>
        </w:rPr>
        <w:t>;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управления  муниципальным имуществом, </w:t>
      </w:r>
      <w:r w:rsidRPr="000243F2">
        <w:rPr>
          <w:rFonts w:ascii="Times New Roman" w:eastAsia="Yu Gothic UI" w:hAnsi="Times New Roman" w:cs="Times New Roman"/>
          <w:bCs/>
          <w:sz w:val="24"/>
          <w:szCs w:val="24"/>
        </w:rPr>
        <w:t xml:space="preserve">использования и охраны земель </w:t>
      </w:r>
      <w:r w:rsidRPr="000243F2">
        <w:rPr>
          <w:rFonts w:ascii="Times New Roman" w:hAnsi="Times New Roman" w:cs="Times New Roman"/>
          <w:sz w:val="24"/>
          <w:szCs w:val="24"/>
        </w:rPr>
        <w:t>посредством нормативного правового регулирования;</w:t>
      </w:r>
    </w:p>
    <w:p w:rsidR="000243F2" w:rsidRPr="000243F2" w:rsidRDefault="000243F2" w:rsidP="00024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0243F2" w:rsidRPr="000243F2" w:rsidRDefault="000243F2" w:rsidP="000243F2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43F2">
        <w:rPr>
          <w:rFonts w:ascii="Times New Roman" w:hAnsi="Times New Roman" w:cs="Times New Roman"/>
          <w:b/>
          <w:sz w:val="24"/>
          <w:szCs w:val="24"/>
        </w:rPr>
        <w:t>. Механизм управления реализацией муниципальной программы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243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3F2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 Глава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Администрация осуществляет: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0243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3F2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муниципальной программы;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- координацию выполнения мероприятий муниципальной программы;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- обеспечение эффективности реализации муниципальной программы, целевого использования средств;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lastRenderedPageBreak/>
        <w:t>- 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- составление отчётов о ходе реализации муниципальной программы в соответствии с приложением № 5 к </w:t>
      </w:r>
      <w:hyperlink r:id="rId5" w:anchor="Par32" w:history="1">
        <w:proofErr w:type="gramStart"/>
        <w:r w:rsidRPr="000243F2">
          <w:rPr>
            <w:rStyle w:val="a3"/>
            <w:rFonts w:ascii="Times New Roman" w:eastAsia="Calibri" w:hAnsi="Times New Roman" w:cs="Times New Roman"/>
            <w:sz w:val="24"/>
            <w:szCs w:val="24"/>
          </w:rPr>
          <w:t>Порядк</w:t>
        </w:r>
      </w:hyperlink>
      <w:r w:rsidRPr="000243F2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0243F2">
        <w:rPr>
          <w:rFonts w:ascii="Times New Roman" w:hAnsi="Times New Roman" w:cs="Times New Roman"/>
          <w:sz w:val="24"/>
          <w:szCs w:val="24"/>
        </w:rPr>
        <w:t>.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F2">
        <w:rPr>
          <w:rFonts w:ascii="Times New Roman" w:hAnsi="Times New Roman" w:cs="Times New Roman"/>
          <w:sz w:val="24"/>
          <w:szCs w:val="24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243F2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0243F2">
        <w:rPr>
          <w:rFonts w:ascii="Times New Roman" w:hAnsi="Times New Roman" w:cs="Times New Roman"/>
          <w:sz w:val="24"/>
          <w:szCs w:val="24"/>
        </w:rPr>
        <w:t xml:space="preserve">, докладываются Главе </w:t>
      </w:r>
      <w:proofErr w:type="spellStart"/>
      <w:r w:rsidRPr="000243F2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0243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F2" w:rsidRPr="000243F2" w:rsidRDefault="000243F2" w:rsidP="000243F2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F2" w:rsidRDefault="000243F2" w:rsidP="000243F2">
      <w:pPr>
        <w:rPr>
          <w:sz w:val="24"/>
          <w:szCs w:val="24"/>
        </w:rPr>
        <w:sectPr w:rsidR="000243F2">
          <w:pgSz w:w="11906" w:h="16838"/>
          <w:pgMar w:top="851" w:right="562" w:bottom="1138" w:left="1138" w:header="567" w:footer="567" w:gutter="0"/>
          <w:cols w:space="720"/>
        </w:sectPr>
      </w:pPr>
    </w:p>
    <w:p w:rsidR="000243F2" w:rsidRPr="000243F2" w:rsidRDefault="000243F2" w:rsidP="000243F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243F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IV</w:t>
      </w:r>
      <w:r w:rsidRPr="00024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Мероприятия</w:t>
      </w:r>
      <w:r w:rsidRPr="000243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муниципальной программы</w:t>
      </w:r>
    </w:p>
    <w:p w:rsidR="000243F2" w:rsidRPr="000243F2" w:rsidRDefault="000243F2" w:rsidP="000243F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8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11"/>
        <w:gridCol w:w="2836"/>
        <w:gridCol w:w="2127"/>
        <w:gridCol w:w="1702"/>
        <w:gridCol w:w="2127"/>
        <w:gridCol w:w="2268"/>
        <w:gridCol w:w="1152"/>
        <w:gridCol w:w="889"/>
        <w:gridCol w:w="964"/>
        <w:gridCol w:w="1034"/>
      </w:tblGrid>
      <w:tr w:rsidR="000243F2" w:rsidRPr="000243F2" w:rsidTr="000243F2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243F2" w:rsidRPr="000243F2" w:rsidTr="000243F2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F2" w:rsidRPr="000243F2" w:rsidRDefault="000243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</w:t>
            </w:r>
            <w:proofErr w:type="spellStart"/>
            <w:r w:rsidRPr="00024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 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оформлением межевого плана и Проекта межевания земельных участков, (</w:t>
            </w:r>
            <w:proofErr w:type="spellStart"/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продуктов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и прочие) 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2022-2025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земель от захламления отходами производства и потребления, загрязнения, зарастания кустарниками и других негативных воздействий 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и навалов мусора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инвентаризации земель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</w:t>
            </w:r>
          </w:p>
          <w:p w:rsidR="000243F2" w:rsidRPr="000243F2" w:rsidRDefault="000243F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(Доля проконсультированных  граждан в сфере земельного </w:t>
            </w: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</w:t>
            </w:r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, %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Сохранение и восстановление земель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 проведением земляных работ на территории  сельского поселения (Объем проведённых проверок в сфере производства земляных работ</w:t>
            </w:r>
            <w:proofErr w:type="gram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,  % )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3F2" w:rsidRPr="000243F2" w:rsidTr="000243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0243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F2" w:rsidRPr="000243F2" w:rsidRDefault="000243F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43F2" w:rsidRPr="000243F2" w:rsidRDefault="000243F2" w:rsidP="000243F2">
      <w:pPr>
        <w:tabs>
          <w:tab w:val="left" w:pos="5100"/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pPr w:leftFromText="180" w:rightFromText="180" w:vertAnchor="text" w:horzAnchor="margin" w:tblpY="533"/>
        <w:tblOverlap w:val="never"/>
        <w:tblW w:w="1532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36"/>
        <w:gridCol w:w="8684"/>
      </w:tblGrid>
      <w:tr w:rsidR="000243F2" w:rsidTr="000243F2">
        <w:trPr>
          <w:trHeight w:val="2227"/>
        </w:trPr>
        <w:tc>
          <w:tcPr>
            <w:tcW w:w="6636" w:type="dxa"/>
            <w:tcBorders>
              <w:tl2br w:val="nil"/>
              <w:tr2bl w:val="nil"/>
            </w:tcBorders>
          </w:tcPr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Муниципальная газета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Наговский</w:t>
            </w:r>
            <w:proofErr w:type="spellEnd"/>
            <w:r>
              <w:rPr>
                <w:b/>
              </w:rPr>
              <w:t xml:space="preserve"> вестник»  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газеты подписан к печати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15.12.2022 в 16.00 часов</w:t>
            </w:r>
          </w:p>
          <w:p w:rsidR="000243F2" w:rsidRDefault="000243F2" w:rsidP="000243F2">
            <w:pPr>
              <w:jc w:val="center"/>
              <w:rPr>
                <w:b/>
              </w:rPr>
            </w:pPr>
            <w:r>
              <w:rPr>
                <w:b/>
              </w:rPr>
              <w:t>Тираж 10 экземпляров</w:t>
            </w:r>
          </w:p>
          <w:p w:rsidR="000243F2" w:rsidRDefault="000243F2" w:rsidP="000243F2">
            <w:pPr>
              <w:jc w:val="center"/>
              <w:rPr>
                <w:b/>
              </w:rPr>
            </w:pPr>
            <w:r>
              <w:rPr>
                <w:b/>
              </w:rPr>
              <w:t>Материалы этого выпуска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публикуются бесплатно  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684" w:type="dxa"/>
            <w:tcBorders>
              <w:tl2br w:val="nil"/>
              <w:tr2bl w:val="nil"/>
            </w:tcBorders>
          </w:tcPr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Адрес редакции-издателя: 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0243F2" w:rsidRDefault="000243F2" w:rsidP="000243F2">
            <w:pPr>
              <w:widowControl w:val="0"/>
              <w:numPr>
                <w:ilvl w:val="0"/>
                <w:numId w:val="2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6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0243F2" w:rsidRDefault="000243F2" w:rsidP="000243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Факс: 75-269</w:t>
            </w:r>
          </w:p>
        </w:tc>
      </w:tr>
    </w:tbl>
    <w:p w:rsidR="0073587A" w:rsidRDefault="0073587A" w:rsidP="000243F2">
      <w:pPr>
        <w:rPr>
          <w:sz w:val="16"/>
          <w:szCs w:val="16"/>
        </w:rPr>
      </w:pPr>
    </w:p>
    <w:sectPr w:rsidR="0073587A" w:rsidSect="000243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7DD81C25"/>
    <w:multiLevelType w:val="multilevel"/>
    <w:tmpl w:val="7DD81C25"/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decimal"/>
      <w:isLgl/>
      <w:lvlText w:val="%1.%2."/>
      <w:lvlJc w:val="left"/>
      <w:pPr>
        <w:ind w:left="1212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572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32" w:hanging="1440"/>
      </w:pPr>
    </w:lvl>
    <w:lvl w:ilvl="6">
      <w:start w:val="1"/>
      <w:numFmt w:val="decimal"/>
      <w:isLgl/>
      <w:lvlText w:val="%1.%2.%3.%4.%5.%6.%7."/>
      <w:lvlJc w:val="left"/>
      <w:pPr>
        <w:ind w:left="2292" w:hanging="1800"/>
      </w:p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</w:lvl>
  </w:abstractNum>
  <w:num w:numId="1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87A"/>
    <w:rsid w:val="000243F2"/>
    <w:rsid w:val="00160D9D"/>
    <w:rsid w:val="00664F59"/>
    <w:rsid w:val="0073587A"/>
    <w:rsid w:val="007902E5"/>
    <w:rsid w:val="00797D44"/>
    <w:rsid w:val="00912CA3"/>
    <w:rsid w:val="00AC3228"/>
    <w:rsid w:val="00CA073A"/>
    <w:rsid w:val="00D038D2"/>
    <w:rsid w:val="00E112FA"/>
    <w:rsid w:val="00E4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587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qFormat/>
    <w:rsid w:val="0073587A"/>
    <w:rPr>
      <w:color w:val="0000FF"/>
      <w:u w:val="single"/>
    </w:rPr>
  </w:style>
  <w:style w:type="table" w:styleId="a4">
    <w:name w:val="Table Grid"/>
    <w:basedOn w:val="a1"/>
    <w:qFormat/>
    <w:rsid w:val="0073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3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istParagraph">
    <w:name w:val="List Paragraph"/>
    <w:basedOn w:val="a"/>
    <w:rsid w:val="000243F2"/>
    <w:pPr>
      <w:numPr>
        <w:numId w:val="2"/>
      </w:numPr>
      <w:tabs>
        <w:tab w:val="left" w:pos="720"/>
      </w:tabs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file:///C:\Users\&#1055;&#1086;&#1083;&#1100;&#1079;&#1086;&#1074;&#1072;&#1090;&#1077;&#1083;&#1100;\Desktop\&#1060;&#1040;&#1049;&#1051;&#1067;\&#1055;&#1054;&#1057;&#1058;&#1040;&#1053;&#1054;&#1042;&#1051;&#1045;&#1053;&#1048;&#1071;\2022%20&#1075;&#1086;&#1076;\&#1076;&#1077;&#1082;&#1072;&#1073;&#1088;&#1100;\&#1087;&#1086;&#1089;&#1090;.%20&#1086;&#1090;%2012.12.2022%20&#8470;200%20&#1054;%20&#1074;&#1085;&#1077;&#1089;&#1077;&#1085;&#1080;&#1080;%20&#1080;&#1079;&#1084;%20&#1074;%20&#1052;&#1055;%20&#1091;&#1087;&#1088;&#1072;&#1074;&#1083;&#1077;&#1085;&#1080;&#1077;%20&#1084;&#1091;&#1085;&#1080;&#1094;&#1080;&#1087;&#1072;&#1083;&#1100;&#1085;&#1099;&#1084;%20&#1080;&#1084;&#1091;&#1097;&#1077;&#1089;&#1090;&#1074;&#1086;&#1084;,%20&#1086;&#1093;&#1088;&#1072;&#1085;&#1072;%20&#1079;&#1077;&#1084;&#1077;&#1083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5104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2022-12-07T06:44:00Z</dcterms:created>
  <dcterms:modified xsi:type="dcterms:W3CDTF">2022-12-22T12:27:00Z</dcterms:modified>
</cp:coreProperties>
</file>