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23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от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25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rFonts w:hint="default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cs="Times New Roman"/>
          <w:b/>
          <w:bCs/>
          <w:sz w:val="24"/>
          <w:szCs w:val="24"/>
          <w:lang w:val="ru-RU"/>
        </w:rPr>
        <w:t>СТАРОРУССКАЯ МЕЖРАЙОННАЯ ПРОКУРАТУРА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Помощник Старорусского межрайонного прокурора Матюшкин С.Е. разъясняет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Установлены условия и порядок предоставления субсидий бюджетам субъектов РФ на уплату процентов по инвестиционным кредитам (займам) в агропромышленном комплексе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Постановлением Правительства РФ от 12.02.2022 № 164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утратившими силу некоторых актов Правительства Российской Федерации» установлены условия и порядок предоставления субсидий бюджетам субъектов РФ на уплату процентов по инвестиционным кредитам (займам) в агропромышленном комплексе.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Так, субсидии предоставляются в целях софинансирования расходных обязательств субъектов РФ по возмещению части затрат по кредитным договорам (договорам займа), заключенным для реализации инвестиционных проектов, отобранных по 31 декабря 2016 года включительно, а также инвестиционных проектов, реализация которых начата ранее 2010 года и которые не проходили процедуру отбора, до дня полного погашения обязательств заемщика в соответствии с кредитным договором (договором займа).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Постановлением также установлен порядок предоставления и распределения субсидий из федерального бюджета бюджетам субъектов РФ в целях софинансирования расходных обязательств субъектов РФ по возмещению производителям зерновых культур части затрат на их производство и реализацию.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Признан утратившим силу ряд актов Правительства РФ, в том числе - постановление Правительства РФ от 6 сентября 2018 г. № 1063.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Настоящее Постановление вступает в силу с 1 января 2024 года.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Помощник Старорусского межрайонного прокурора Матюшкин С.Е. разъясняет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Как осужденному лицу получить копии документов в исправительном учреждении?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п.п. 103, 104 Правил внутреннего распорядка в исправительных учреждениях (в редакции приказа Минюста РФ от 03.11.2005 №205), осужденные по своему желанию могут за счет собственных средств пользоваться услугами коммунально-бытового обслуживания, расположенных в районе дислокации исправительного учреждения.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таким услугам относятся, в том числе, копирование судебных документов, других документов, имеющихся в личных делах осужденных.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основании ч. 2 ст. 10 Уголовно-исполнительного кодекса Российской Федерации (далее – УИК РФ), при исполнении наказаний осужденным гарантируются права и свободы граждан Российской Федерации с изъятиями и ограничениями, установленными уголовным, уголовно-исполнительным и иным законодательством Российской 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ст. 4 УИК РФ, федеральные органы исполнительной власти вправе принимать основанные на федеральном законе нормативные правовые акты по вопросам исполнения наказаний.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силу п. 31 приказа Минюста от 23.06.2005 г. № 94-дсп личному делу присваивается гриф ограниченного распространения «Для служебного пользования» (ДСП), документы, хранящиеся в личном деле, являются неотъемлемой частью личного дела и имеют гриф ДСП.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п. 46 приказа Минюста РФ от 23.06.2005г. № 94-дсп установлен запрет на выдачу личных дел физическим и юридическим лицам, за исключением судов, прокуратуры, органов МВД.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 п. 37 приказа Минюста РФ № 161-дсп от 15.08.2007 года, при необходимости работники спецотдела знакомят осужденного с содержанием имеющихся в личном деле на него копий приговоров, определений, постановлений судов, а также характеристик.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Ознакомление производится путем прочтения вслух. По просьбе осужденного ему разрешается делать выписки из этих документов под контролем сотрудника спецотдела.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ст. 12 УИК РФ, осужденные имеют право на получение информации о своих правах и обязанностях, о порядке и об условиях отбывания назначенного судом вида наказания. Администрация учреждения или органа, исполняющего наказания, обязана предоставить осужденным указанную информацию, а также знакомить их с изменениями порядка и условий отбывания наказаний.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осуществлении прав осужденных не должны нарушаться порядок и условия отбывания наказаний, а также ущемляться права и законные интересы других лиц.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Таким образом, осужденные имеют право пользоваться дополнительными услугами в ИУ, в том числе, правом на снятие копий документов, однако, заявление осужденного к администрации исправительного учреждения об изготовлении копий материалов личного дела подлежит законному и обоснованному отклонению.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Помощник Старорусского межрайонного прокурора Матюшкин С.Е. разъясняет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Изменения законодательства о водоснабжении и водоотведении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contextualSpacing/>
        <w:jc w:val="both"/>
        <w:textAlignment w:val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Согласно Федеральному закону от 28.01.2022 № 5-Ф «О внесении изменений в Федеральный закон "О водоснабжении и водоотведении» с 1 марта 2023 года при расчете тарифов в сфере водоснабжения и водоотведения должны быть учтены нормативы потерь горячей, питьевой, технической воды в централизованных системах водоснабжения при ее производстве и транспортировке</w:t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contextualSpacing/>
        <w:jc w:val="both"/>
        <w:textAlignment w:val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На Минстрой России возложены полномочия по утверждению порядка установления указанных нормативов.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Предусматривается, что учет потерь воды организациями водоснабжения осуществляется в порядке, действующем до 1 марта 2023 года, до даты окончания текущего долгосрочного периода регулирования, установленного для указанных организаций, или до окончания действия концессионного соглашения, если иное не предусмотрено дополнительным соглашением к концессионному соглашению.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Помощник Старорусского межрайонного прокурора Матюшкин С.Е. разъясняет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Минстроем России предложен порядок управления малоэтажными жилыми комплексами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Проектом Федерального закона "О малоэтажных жилых комплексах, управлении общим имуществом малоэтажных жилых комплексов" (не внесен в ГД ФС РФ) определены понятия "малоэтажный жилой комплекс" и "общее имущество собственников индивидуальных жилых домов в малоэтажном жилом комплексе". Регламентируются положения о праве собственности на общее имущество в малоэтажном жилом комплексе и порядок проведения общего собрания собственников индивидуальных жилых домов.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Так, документом к общему имуществу собственников индивидуальных жилых домов в малоэтажном жилом комплексе отнесены расположенные в границах территории малоэтажного жилого комплекса объекты капитального строительства, иное имущество и земельные участки (права на них), если использование указанного имущества осуществляется исключительно для удовлетворения потребностей собственников индивидуальных жилых домов в малоэтажном жилом комплексе.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Кроме того, к такому имуществу отнесены также объекты инженерно-технической и транспортной инфраструктур - котельные, водонапорные башни, тепловые пункты, проезды, велосипедные дорожки, пешеходные переходы, тротуары и др.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Помощник Старорусского межрайонного прокурора Матюшкин С.Е. разъясняет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Правительством РФ установлены особенности раскрытия и предоставления информации финансовыми организациями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Постановлением Правительства РФ от 05.04.2022 № 586 "О некоторых особенностях раскрытия и (или) предоставления информации в соответствии с отдельными законодательными актами Российской Федерации" закреплен перечень информации, которую кредитные организации, некредитные финансовые организации и находящиеся под их контролем лица вправе не раскрывать и не предоставлять в случае введения в отношении них мер ограничительного характера. К таковой отнесены, в том числе, информация о крупных сделках и (или) сделках, в совершении которых имеется заинтересованность, инсайдерская информация, сведения о клиринговой организации, сведения о структуре и составе акционеров (участников) микрофинансовой организации и др.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Доступ к информации подлежит ограничению ФНС России по заявлению таких лиц.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Центральный депозитарий, организатор торговли также вправе осуществлять в ограниченных составе и (или) объеме раскрытие информации в отношении указанных лиц при поступлении от них уведомления с указанием информации, которая не подлежит раскрытию.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Помощник Старорусского межрайонного прокурора Матюшкин С.Е. разъясняет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Правительством установлены особые условия предоставления в 2022 году субсидий, в том числе грантов, юрлицам, ИП и физлицам - производителям товаров, работ, услуг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Согласно постановлению Правительства РФ от 05.04.2022 № 590«О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 при предоставлении субсидий, применяются следующие условия, в частности: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срок окончания приема заявок участников отбора может быть сокращен до 10 календарных дней, следующих за днем размещения объявления о проведении отбора;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 участника отбора может быть неисполненная обязанность по уплате налогов, сборов, страховых взносов, пеней, штрафов, процентов, не превышающая 300 тыс. рублей;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контрактов по причине введения санкций или мер ограничительного характера;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главный распорядитель вправе принять решение о продлении сроков достижения значений результатов предоставления субсидии (но не более чем на 24 месяца) без изменения размера субсидии, либо решение об уменьшении значения результата предоставления субсидии;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снижено требование в части объема привлекаемых участником отбора средств внебюджетных источников с 50 до 30 процентов общей стоимости работ по проведению прикладных научных исследований и (или) экспериментальных разработок.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Помощник Старорусского межрайонного прокурора Матюшкин С.Е. разъясняет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Предъявляются ли требования к высоте забора между земельными участками?</w:t>
      </w:r>
      <w:r>
        <w:rPr>
          <w:rFonts w:cs="Times New Roman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Требования к ограждениям, возводимым на земельных участках для индивидуального жилищного строительства, могут быть установлены региональными и местными нормативными правовыми актами, в том числе правилами землепользования и застройки или правилами благоустройства территории муниципального образования (п. п. 8, 36, 39 ст. 1, ч. 1 ст. 30, ч. 1 ст. 32 ГрК РФ; ч. 1 ст. 2, ст. 45.1 Закона от 06.10.2003 № 131-ФЗ).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частности, на территории муниципальных образований Московской области высота ограждений не должна превышать двух метров (ч. 4 ст. 27 Закона Московской области от 30.12.2014 № 191/2014-ОЗ).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Правилами благоустройства территории муниципальных образований устанавливаются требования к архитектурно-художественному облику территорий, в частности, в отношении внешнего вида ограждений (заборов) (ч. 2.1 ст. 5, ч. 6 ст. 27 Закона Московской области N 191/2014-ОЗ; гл. 13 Правил, утв. Постановлением администрации городского поселения Дмитров Дмитровского муниципального района МО от 21.03.2014 № 120-ПД).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действующим правилам по периметру садовых участков на территории ведения гражданами садоводства рекомендуется устраивать сетчатое ограждение высотой 1,2 - 1,8 м. По обоюдному письменному согласию владельцев соседних участков (согласованному с правлением СНТ) возможно устройство ограждений других типов или отсутствие ограждения.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решению общего собрания членов товарищества допускается устройство глухих ограждений со стороны улиц, проездов и наружных ограждений участков (ст. 4 Закона от 29.07.2017 N 217-ФЗ; п. п. 1, 6.2 СП 53.13330.2019, утв. Приказом Минстроя России от 14.10.2019 N 618/пр; Определение Третьего кассационного суда общей юрисдикции от 25.08.2021 N 88-13346/2021 по делу N 2-634/2020).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этом ограничения по высоте ограждений земельных участков, предоставленных, в том числе для садоводства, могут быть предусмотрены местными нормативными правовыми актами, регулирующими градостроительную деятельность на определенной территории, в частности нормативами градостроительного проектирования поселений (ст. 8 ГрК РФ; Нормативы, принятые Решением Совета депутатов городского округа Звенигород МО от 15.02.2018 № 19/5).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Требования к высоте забора между соседними огородными земельными участками в настоящее время не установлены.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Помощник Старорусского межрайонного прокурора Матюшкин С.Е. разъясняет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Установлен новый порядок признания лица инвалидом</w:t>
      </w:r>
      <w:r>
        <w:rPr>
          <w:rFonts w:cs="Times New Roman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Постановлением Правительства от 05.04.2022 № 588 «О признании лица инвалидом» установлен новый порядок признания лица инвалидом.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частности, предусмотрено, что медико-социальная экспертиза проводится в бюро (главном бюро, Федеральном бюро) без личного присутствия гражданина, с личным присутствием гражданина, в том числе с выездом по месту его нахождения или дистанционно с применением информационно-коммуникационных технологий.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Признаны утратившими силу акты Правительства РФ, регулирующие аналогичные правоотношения.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Постановление вступает в силу с 1 июля 2022 г., за исключением отдельных положений, для которых установлены иные сроки вступления их в силу.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Помощник Старорусского межрайонного прокурора Матюшкин С.Е. разъясняет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С 01.03.2022 вступили в силу изменения, внесенные в Трудовой кодекс Российской Федерации ФЗ от 02.07.2021 №311-ФЗ.</w:t>
      </w:r>
      <w:r>
        <w:rPr>
          <w:rFonts w:cs="Times New Roman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Введено новое понятие, относящееся к полученным повреждениям на производстве (ст. 226 ТК РФ).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Теперь работодатель самостоятельно осуществляет учет и рассмотрение обстоятельств и причин, которые привели к возникновению у работников микроповреждений (микротравм) в процессе производственной деятельности.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Для того, чтобы работодателем было начато проведение мероприятий по установлению причин и условий, способствовавших появлению микротравм, работнику необходимо обратиться к своему работодателю при получении ссадин, ушибов мягких тканей и иных подобных повреждений, который в свою очередь зафиксирует происшествие, и посте этого будут устанавливаться и рассматриваться причины возникновения данных травм.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Помощник Старорусского межрайонного прокурора Матюшкин С.Е. разъясняет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 вопросу о назначении судебного штрафа несовершеннолетнему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вред. В этом случае суд принимает решение о назначении меры уголовно-правового характера в виде судебного штрафа. Такая возможность закреплена в ст. 25.1 Уголовно-процессуального кодекса Российской 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Такое решение может быть принято судом в любой момент до его удаления в совещательную комнату для постановления приговора, а в суде апелляционной инстанции – до удаления суда апелляционной инстанции в совещательную комнату для вынесения решения по делу.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Эта норма распространяется и на несовершеннолетних лиц.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contextualSpacing/>
        <w:jc w:val="both"/>
        <w:textAlignment w:val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Судебный штраф, назначенный несовершеннолетнему, может быть уплачен также его родителями, усыновителями или иными законными представителями с их согласия.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4"/>
          <w:szCs w:val="24"/>
        </w:rPr>
      </w:pPr>
    </w:p>
    <w:tbl>
      <w:tblPr>
        <w:tblStyle w:val="6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25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.0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4"/>
          <w:szCs w:val="24"/>
        </w:rPr>
      </w:pPr>
    </w:p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5B03610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qFormat/>
    <w:uiPriority w:val="0"/>
    <w:rPr>
      <w:color w:val="0000FF"/>
      <w:u w:val="single"/>
    </w:rPr>
  </w:style>
  <w:style w:type="character" w:customStyle="1" w:styleId="5">
    <w:name w:val="Основной шрифт абзаца1"/>
    <w:qFormat/>
    <w:uiPriority w:val="0"/>
  </w:style>
  <w:style w:type="table" w:styleId="6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2022-04-25T07:49:08Z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