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9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от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28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.03.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СТАРОРУССКАЯ МЕЖРАЙОННАЯ ПРОКУРАТУРА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709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SimSun"/>
          <w:b/>
          <w:bCs/>
          <w:kern w:val="1"/>
          <w:sz w:val="24"/>
          <w:szCs w:val="24"/>
          <w:lang w:eastAsia="zh-CN" w:bidi="hi-IN"/>
        </w:rPr>
        <w:t xml:space="preserve">      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Старший помощник Старорусского межрайонного прокурора Лаврова Е.А. разъясняет</w:t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Установлен порядок исключения пестицида или агрохимиката из Государственного каталога пестицидов и агрохимикатов, разрешенных к применению на территории РФ</w:t>
      </w:r>
    </w:p>
    <w:p>
      <w:pP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</w:p>
    <w:p>
      <w:pPr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Постановлением Правительства РФ от 12.02.2022 N 157"Об утверждении Правил исключения пестицида или агрохимиката из Государственного каталога пестицидов и агрохимикатов, разрешенных к применению на территории Российской Федерации, изменения регламентов применения пестицида или агрохимиката и (или) срока государственной регистрации пестицида или агрохимиката до истечения срока действия государственной регистрации" установлен порядок исключения пестицида или агрохимиката из Государственного каталога пестицидов и агрохимикатов, разрешенных к применению на территории РФ.</w:t>
      </w:r>
    </w:p>
    <w:p>
      <w:pPr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Кроме того, документом закреплен порядок изменения регламентов применения пестицида или агрохимиката и (или) срока государственной регистрации пестицида или агрохимиката до истечения срока действия государственной регистрации.</w:t>
      </w:r>
    </w:p>
    <w:p>
      <w:pPr>
        <w:ind w:firstLine="709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Исключение пестицида или агрохимиката из указанного каталога, а также изменение регламентов их применения и (или) срока государственной регистрации осуществляются Минсельхозом России на основании решения Межведомственной комиссии по вопросам безопасного обращения с пестицидами и агрохимикатами, в случае если при их обороте выявлены ранее неизвестные опасные для здоровья людей или окружающей среды свойства, присущие этому пестициду или агрохимикату.</w:t>
      </w:r>
    </w:p>
    <w:p>
      <w:pPr>
        <w:widowControl w:val="0"/>
        <w:suppressAutoHyphens/>
        <w:jc w:val="both"/>
        <w:rPr>
          <w:rFonts w:eastAsia="SimSun"/>
          <w:b/>
          <w:bCs/>
          <w:kern w:val="1"/>
          <w:sz w:val="24"/>
          <w:szCs w:val="24"/>
          <w:lang w:eastAsia="zh-CN" w:bidi="hi-IN"/>
        </w:rPr>
      </w:pPr>
    </w:p>
    <w:p>
      <w:pPr>
        <w:spacing w:after="0" w:line="360" w:lineRule="auto"/>
        <w:ind w:firstLine="709"/>
        <w:jc w:val="center"/>
        <w:rPr>
          <w:b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Старший помощник Старорусского межрайонного прокурора Лаврова Е.А. разъясняет</w:t>
      </w:r>
    </w:p>
    <w:p>
      <w:pPr>
        <w:spacing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 ответственности за нецензурную лексику в социальных сетях</w:t>
      </w:r>
    </w:p>
    <w:p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Оскорбление – это унижение чести и достоинства другого лица, выраженное в неприличной форме. Это может быть, как нецензурная брань, так и выражение, которое противоречит общепринятым в обществе нормам. Для наступления административной ответственности оскорбление должно быть направлено на конкретное лицо.</w:t>
      </w:r>
    </w:p>
    <w:p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Согласно Федеральному закону от 30.12.2020 № 530-ФЗ «О внесении изменений в Федеральный закон «Об информации, информационных технологиях и о защите информации» с 01.02.2021 на социальные сети возложена обязанность самостоятельно выявлять и блокировать запрещенный контент. В частности, речь идет о различной противоправной информации, например, об оскорблении человеческого достоинства и общественной нравственности, экстремистских материалах, информации, склоняющей детей к совершению опасных для жизни незаконных действий и т.п.</w:t>
      </w:r>
    </w:p>
    <w:p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Следует помнить, что использование ненормативной лексики нарушает как моральные, так и этические нормы общества, а также является явным проявлением неуважения к окружающим людям.</w:t>
      </w:r>
    </w:p>
    <w:p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Соответственно, за подобные действия предусмотрена административная ответственность, а в случае распространения заведомо ложных сведений, порочащих честь и достоинство другого лица или подрывающих его репутацию, – вплоть до уголовной ответственности (ст. 128.1 УК РФ).</w:t>
      </w:r>
    </w:p>
    <w:p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Согласно ч. 3 ст. 20.1 КоАП РФ предусмотрена ответственность за действия, связанные с распространением в информационно-телекоммуникационных сетях, в том числе в сети «Интернет», также информации, выражающей в неприличной форме, которая оскорбляет человеческое достоинство и общественную нравственность, проявление явного неуважения к обществу, государству, и в подобных случаях виновному грозит штраф до 100 тыс. рублей.</w:t>
      </w:r>
    </w:p>
    <w:p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Также, различного рода оскорбления, совершенные путем направления личных сообщений, в том числе голосовых, в мессенджерах или социальных сетях, подлежат квалификации по ч. 1 ст. 5.61 КоАП РФ.</w:t>
      </w:r>
    </w:p>
    <w:p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Помимо этого, согласно ч. 2 ст. 5.61 КоАП РФ оскорбление, содержащееся в публичном выступлении, публично демонстрирующемся произведении или СМИ либо совершенное публично с использованием информационно-телекоммуникационных сетей, включая сеть «Интернет», или в отношении нескольких лиц, в том числе индивидуально не определенных, влечет наложение административного штрафа на граждан до 10 тыс. рублей; на должностных лиц –до 100 тыс. тыс. рублей, а на юридических лиц –до 700 тысяч рублей.</w:t>
      </w:r>
    </w:p>
    <w:p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Подобная ситуация может возникнуть, например, в случае размещения оскорбления на странице в социальной сети, которая доступна для неопределенного круга лиц, либо же в групповых чатах мессенджеров.</w:t>
      </w:r>
    </w:p>
    <w:p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достоинство личности, честь и доброе имя, неприкосновенность частной жизни относится к нематериальным благам, принадлежащим гражданам по рождению. Это даёт основание для самостоятельного обращения в суд с исковым заявлением о защите чести и достоинства и возмещении морального вреда.</w:t>
      </w:r>
    </w:p>
    <w:p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даже если виновное лицо было привлечено к административной ответственности, выплатило штраф за оскорбление личности, это не будет служить причиной отказа от подачи в суд иска с требованием возмещения морального вреда, нанесённого оскорблением.</w:t>
      </w:r>
    </w:p>
    <w:p>
      <w:pPr>
        <w:widowControl w:val="0"/>
        <w:suppressAutoHyphens/>
        <w:ind w:firstLine="709"/>
        <w:jc w:val="both"/>
        <w:rPr>
          <w:rFonts w:eastAsia="SimSun"/>
          <w:b/>
          <w:bCs/>
          <w:kern w:val="1"/>
          <w:sz w:val="24"/>
          <w:szCs w:val="24"/>
          <w:lang w:eastAsia="zh-CN" w:bidi="hi-IN"/>
        </w:rPr>
      </w:pPr>
    </w:p>
    <w:p>
      <w:pPr>
        <w:spacing w:after="0" w:line="360" w:lineRule="auto"/>
        <w:ind w:firstLine="709"/>
        <w:jc w:val="center"/>
        <w:rPr>
          <w:b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Старший помощник Старорусского межрайонного прокурора Лаврова Е.А. разъясняет</w:t>
      </w:r>
    </w:p>
    <w:p>
      <w:pPr>
        <w:spacing w:after="0"/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правовых аспектах и последствиях неправомерного прекращения или ограничения подачи электрической энергии</w:t>
      </w:r>
    </w:p>
    <w:p>
      <w:pPr>
        <w:spacing w:after="0"/>
        <w:ind w:firstLine="709"/>
        <w:contextualSpacing/>
        <w:jc w:val="center"/>
        <w:rPr>
          <w:b/>
          <w:sz w:val="24"/>
          <w:szCs w:val="24"/>
        </w:rPr>
      </w:pPr>
    </w:p>
    <w:p>
      <w:pPr>
        <w:spacing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Прекращение подачи электроэнергии – это полное отключение потребителя от электрических сетей, независимо от того, временно или постоянно это сделано. Ограничение подачи электроэнергии – это уменьшение ее объема.</w:t>
      </w:r>
    </w:p>
    <w:p>
      <w:pPr>
        <w:spacing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Отключение электрической энергией является неправомерным в следующих случаях:</w:t>
      </w:r>
    </w:p>
    <w:p>
      <w:pPr>
        <w:pStyle w:val="10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 неуплату - когда человек исправно платит за электроэнергию, ему не могут отключить свет за долги по водоснабжению, водоотведению и другим коммунальным услугам.</w:t>
      </w:r>
    </w:p>
    <w:p>
      <w:pPr>
        <w:pStyle w:val="10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создаётся угроза жизни и здоровью человека, например, если в доме проживает человек, подключенный к аппаратуре жизнеобеспечения.</w:t>
      </w:r>
    </w:p>
    <w:p>
      <w:pPr>
        <w:pStyle w:val="10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отключение всего подъезда или же дома - ограничение подачи электроэнергии не должно нарушать гражданские права других жильцов.</w:t>
      </w:r>
    </w:p>
    <w:p>
      <w:pPr>
        <w:pStyle w:val="10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если электричество используется для отопления многоквартирного дома - нельзя обесточивать в зимний период, даже если имеется непогашенная задолженность.</w:t>
      </w:r>
    </w:p>
    <w:p>
      <w:pPr>
        <w:spacing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 неправомерное отключения или ограничение подачи электроэнергии предусмотрены административная и уголовная ответственность.</w:t>
      </w:r>
    </w:p>
    <w:p>
      <w:pPr>
        <w:spacing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 нарушение нормативного уровня или режима обеспечения населения коммунальными услугами, например, когда свет отключают очень часто, предусмотрена административная ответственность по ст. 7.23 КоАП РФ.</w:t>
      </w:r>
    </w:p>
    <w:p>
      <w:pPr>
        <w:spacing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 незаконное прекращение или ограничение подачи потребителям электрической энергии либо отключение их от других источников жизнеобеспечения, совершенные должностным лицом, а равно лицом, выполняющим управленческие функции в коммерческой или иной организации, если это повлекло по неосторожности причинение крупного ущерба, тяжкого вреда здоровью или иные последствия, предусмотрена уголовная ответственность (ст.215.1 Уголовного кодекса Российской Федерации).</w:t>
      </w:r>
    </w:p>
    <w:p>
      <w:pPr>
        <w:spacing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Следует также отметить возможность наступления ответственности по ст. 330 УК РФ, то есть за самоуправство – самовольное, вопреки установленному законом или иным нормативным правовым актом порядку совершение каких-либо действий, правомерность которых оспаривается организацией или гражданином, если такими действиями причинен существенный вред. Это уместно в случае, когда поставщик электроэнергии действует в обход установленной законом процедуры.</w:t>
      </w:r>
    </w:p>
    <w:p>
      <w:pPr>
        <w:spacing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если поставщик нарушил правила приостановления подачи электрической энергии, при этом не уведомил потребителя о запланированном отключении, последний вправе обратиться в органы Роспотребнадзора, прокуратуру или суд.</w:t>
      </w:r>
    </w:p>
    <w:p>
      <w:pPr>
        <w:widowControl w:val="0"/>
        <w:suppressAutoHyphens/>
        <w:ind w:firstLine="709"/>
        <w:jc w:val="both"/>
        <w:rPr>
          <w:rFonts w:eastAsia="SimSun"/>
          <w:b/>
          <w:bCs/>
          <w:kern w:val="1"/>
          <w:sz w:val="24"/>
          <w:szCs w:val="24"/>
          <w:lang w:eastAsia="zh-CN" w:bidi="hi-IN"/>
        </w:rPr>
      </w:pPr>
    </w:p>
    <w:p>
      <w:pPr>
        <w:ind w:firstLine="709"/>
        <w:jc w:val="center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Старший помощник Старорусского межрайонного прокурора Лаврова Е.А. разъясняет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>
        <w:rPr>
          <w:rFonts w:eastAsiaTheme="minorHAnsi" w:cstheme="minorBidi"/>
          <w:b/>
          <w:sz w:val="24"/>
          <w:szCs w:val="24"/>
          <w:lang w:eastAsia="en-US"/>
        </w:rPr>
        <w:t>О применении к несовершеннолетнему принудительных мер воспитательного воздействия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Уголовный кодекс Российской Федерации (ст. 90) определяет, что применение принудительных мер воспитательного воздействия возможно в отношении несовершеннолетних, совершивших преступление небольшой или средней тяжести, если будет признано, что их исправление может быть достигнуто путем применения указанных мер без назначения уголовного наказания.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В качестве таких мер несовершеннолетнему могут быть назначены:</w:t>
      </w:r>
    </w:p>
    <w:p>
      <w:pPr>
        <w:pStyle w:val="10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предупреждение;</w:t>
      </w:r>
    </w:p>
    <w:p>
      <w:pPr>
        <w:pStyle w:val="10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передача под надзор родителей или лиц, их заменяющих, либо специализированного государственного органа;</w:t>
      </w:r>
    </w:p>
    <w:p>
      <w:pPr>
        <w:pStyle w:val="10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возложение обязанности загладить причиненный вред;</w:t>
      </w:r>
    </w:p>
    <w:p>
      <w:pPr>
        <w:pStyle w:val="10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ограничение досуга и установление особых требований к поведению несовершеннолетнего.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Несовершеннолетнему может быть назначено одновременно несколько принудительных мер воспитательного воздействия, срок надзора и ограничения досуга устанавливается от одного месяца до трех лет.</w:t>
      </w:r>
    </w:p>
    <w:p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При этом в случае систематического неисполнения несовершеннолетним назначенной меры воздействия она может быть отменена, а несовершеннолетний – подвергнут уголовному наказанию.</w:t>
      </w:r>
    </w:p>
    <w:p>
      <w:pPr>
        <w:widowControl w:val="0"/>
        <w:suppressAutoHyphens/>
        <w:ind w:firstLine="709"/>
        <w:jc w:val="both"/>
        <w:rPr>
          <w:rFonts w:eastAsia="SimSun"/>
          <w:b/>
          <w:bCs/>
          <w:kern w:val="1"/>
          <w:sz w:val="24"/>
          <w:szCs w:val="24"/>
          <w:lang w:eastAsia="zh-CN" w:bidi="hi-IN"/>
        </w:rPr>
      </w:pPr>
    </w:p>
    <w:p>
      <w:pPr>
        <w:ind w:firstLine="709"/>
        <w:jc w:val="center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Старший помощник Старорусского межрайонного прокурора Лаврова Е.А. разъясняет</w:t>
      </w:r>
    </w:p>
    <w:p>
      <w:pPr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Постановлением Правительства РФ от 16.03.2022 N 376 "Об особенностях организации предоставления государственных услуг в сфере занятости населения в 2022 году"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определено, что граждане, находящиеся под риском увольнения, смогут обращаться в центры занятости наряду с безработными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Согласно документу, воспользоваться услугами центров занятости в 2022 году смогут также: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- граждане, переведенные работодателем на неполный рабочий день или неполную рабочую неделю;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- работники организаций, в которых принято решение о простое;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- граждане, находящиеся в отпусках без сохранения заработной платы;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- работники организаций, находящихся в процедурах банкротства;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- граждане, испытывающие трудности в поиске работы.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Для получения помощи указанные лица вправе обратиться в государственные учреждения службы занятости населения своего региона.</w:t>
      </w:r>
    </w:p>
    <w:p>
      <w:pP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ab/>
      </w:r>
    </w:p>
    <w:p>
      <w:pPr>
        <w:ind w:firstLine="709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Старший помощник Старорусского межрайонного прокурора Лаврова Е.А. разъясняет</w:t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Продление срока содержания под стражей в случаях, не терпящих отлагательства, при временном отсутствии по уважительным причинам судьи, единолично рассматривающего уголовное дело по существу, иным судьей того же суда, не свидетельствует об отступлении от требования о неизменности состава суда, рассматривающего уголовное дело по существу</w:t>
      </w:r>
    </w:p>
    <w:p>
      <w:pPr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В Постановление Конституционного Суда РФ от 15.02.2022 № 6-"По делу о проверке конституционности статьи 242 и частей первой и третьей статьи 255 Уголовно-процессуального кодекса Российской Федерации в связи с жалобой гражданина А.С. Мамонтова" Конституционный Суд РФ признал статью 242 и части первую и третью статьи 255 УПК РФ не противоречащими Конституции РФ, поскольку они позволяют, если разрешение вопроса о продлении срока содержания под стражей не терпит отлагательства, а осуществление его судьей (составом суда), в чьем производстве находится уголовное дело, объективно невозможно, принять решение о продлении срока содержания под стражей (об отмене или изменении данной меры пресечения) единолично иному судье того же суда, определенному в соответствии с установленным законом принципом распределения дел, по результатам изучения материалов уголовного дела, исследования в условиях устности и непосредственности представленных сторонами обвинения и защиты доказательств, подтверждающих наличие или отсутствие оснований для применения данной меры пресечения.</w:t>
      </w:r>
    </w:p>
    <w:p>
      <w:pPr>
        <w:widowControl w:val="0"/>
        <w:suppressAutoHyphens/>
        <w:ind w:firstLine="709"/>
        <w:jc w:val="both"/>
        <w:rPr>
          <w:rFonts w:eastAsia="SimSun"/>
          <w:b/>
          <w:bCs/>
          <w:kern w:val="1"/>
          <w:sz w:val="24"/>
          <w:szCs w:val="24"/>
          <w:lang w:eastAsia="zh-CN" w:bidi="hi-IN"/>
        </w:rPr>
      </w:pPr>
    </w:p>
    <w:p>
      <w:pPr>
        <w:rPr>
          <w:rFonts w:eastAsia="SimSun"/>
          <w:b/>
          <w:bCs/>
          <w:kern w:val="1"/>
          <w:sz w:val="24"/>
          <w:szCs w:val="24"/>
          <w:lang w:eastAsia="zh-CN" w:bidi="hi-IN"/>
        </w:rPr>
      </w:pPr>
      <w:r>
        <w:rPr>
          <w:rFonts w:eastAsia="SimSun"/>
          <w:b/>
          <w:bCs/>
          <w:kern w:val="1"/>
          <w:sz w:val="24"/>
          <w:szCs w:val="24"/>
          <w:lang w:eastAsia="zh-CN" w:bidi="hi-IN"/>
        </w:rPr>
        <w:t xml:space="preserve">           </w:t>
      </w:r>
      <w:r>
        <w:rPr>
          <w:rFonts w:eastAsia="SimSun"/>
          <w:b/>
          <w:bCs/>
          <w:kern w:val="1"/>
          <w:sz w:val="24"/>
          <w:szCs w:val="24"/>
          <w:lang w:eastAsia="zh-CN" w:bidi="hi-IN"/>
        </w:rPr>
        <w:t xml:space="preserve"> </w:t>
      </w:r>
      <w:r>
        <w:rPr>
          <w:rFonts w:eastAsia="SimSun"/>
          <w:b/>
          <w:bCs/>
          <w:kern w:val="1"/>
          <w:sz w:val="24"/>
          <w:szCs w:val="24"/>
          <w:lang w:val="ru-RU" w:eastAsia="zh-CN" w:bidi="hi-IN"/>
        </w:rPr>
        <w:t>АДМИНИСТРАЦИЯ</w:t>
      </w:r>
      <w:r>
        <w:rPr>
          <w:rFonts w:hint="default" w:eastAsia="SimSun"/>
          <w:b/>
          <w:bCs/>
          <w:kern w:val="1"/>
          <w:sz w:val="24"/>
          <w:szCs w:val="24"/>
          <w:lang w:val="ru-RU" w:eastAsia="zh-CN" w:bidi="hi-IN"/>
        </w:rPr>
        <w:t xml:space="preserve"> НАГОВСКОГО СЕЛЬСКОГО ПОСЕЛЕНИЯ</w:t>
      </w:r>
      <w:r>
        <w:rPr>
          <w:rFonts w:eastAsia="SimSun"/>
          <w:b/>
          <w:bCs/>
          <w:kern w:val="1"/>
          <w:sz w:val="24"/>
          <w:szCs w:val="24"/>
          <w:lang w:eastAsia="zh-CN" w:bidi="hi-IN"/>
        </w:rPr>
        <w:t xml:space="preserve"> </w:t>
      </w:r>
    </w:p>
    <w:p>
      <w:pPr>
        <w:rPr>
          <w:rFonts w:eastAsia="SimSun"/>
          <w:b/>
          <w:bCs/>
          <w:kern w:val="1"/>
          <w:sz w:val="24"/>
          <w:szCs w:val="24"/>
          <w:lang w:eastAsia="zh-CN" w:bidi="hi-IN"/>
        </w:rPr>
      </w:pPr>
      <w:bookmarkStart w:id="0" w:name="_GoBack"/>
      <w:bookmarkEnd w:id="0"/>
      <w:r>
        <w:rPr>
          <w:rFonts w:eastAsia="SimSun"/>
          <w:b/>
          <w:bCs/>
          <w:kern w:val="1"/>
          <w:sz w:val="24"/>
          <w:szCs w:val="24"/>
          <w:lang w:eastAsia="zh-CN" w:bidi="hi-IN"/>
        </w:rPr>
        <w:t xml:space="preserve">  </w:t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SimSun"/>
          <w:b/>
          <w:bCs/>
          <w:kern w:val="1"/>
          <w:sz w:val="24"/>
          <w:szCs w:val="24"/>
          <w:lang w:eastAsia="zh-CN" w:bidi="hi-IN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государственной программы "Государственная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области" реализуется один из приоритетных региональных проектов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"Территориальное общественное самоуправление"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>
      <w:pPr>
        <w:ind w:firstLine="360" w:firstLineChars="1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территориальным  общественным самоуправлением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(ТОС)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понимается самоорганизация граждан по месту их жительства на части территории поселения, внутригородской территории города федерального значения, муниципального округа, городского округа, внутригородского района,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 непосредственно населением или через создаваемые им органы территориального общественного самоуправления. </w:t>
      </w:r>
    </w:p>
    <w:p>
      <w:pPr>
        <w:ind w:firstLine="120" w:firstLineChars="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Территориальное общественное самоуправление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bCs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ТОС)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одной из форм местного самоуправления и создает условия для участия граждан в решении вопросов местного значения.</w:t>
      </w:r>
    </w:p>
    <w:p>
      <w:pPr>
        <w:ind w:firstLine="240" w:firstLineChars="1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ТОСы возникают там и тогда, где и когда люди начинают самостоятельно заботиться о комфорте, чистоте и красоте своего двора, своей улицы или даже своей деревни.</w:t>
      </w:r>
    </w:p>
    <w:p>
      <w:pPr>
        <w:rPr>
          <w:sz w:val="24"/>
          <w:szCs w:val="24"/>
        </w:rPr>
      </w:pPr>
    </w:p>
    <w:tbl>
      <w:tblPr>
        <w:tblStyle w:val="6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0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2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«Наговский вестник»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28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.03.2022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2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instrText xml:space="preserve"> HYPERLINK "mailto:admnagovo@mail.ru" </w:instrTex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/>
                <w:sz w:val="20"/>
                <w:szCs w:val="20"/>
              </w:rPr>
              <w:t>admnagovo@mail.ru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Главный редактор:В.В. Бучацкий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>
      <w:pPr>
        <w:rPr>
          <w:rFonts w:hint="default"/>
          <w:sz w:val="24"/>
          <w:szCs w:val="24"/>
          <w:lang w:val="ru-RU"/>
        </w:rPr>
      </w:pPr>
    </w:p>
    <w:sectPr>
      <w:pgSz w:w="11906" w:h="16838"/>
      <w:pgMar w:top="1134" w:right="595" w:bottom="1134" w:left="141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98126"/>
    <w:multiLevelType w:val="singleLevel"/>
    <w:tmpl w:val="F5A98126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5E702DC2"/>
    <w:multiLevelType w:val="multilevel"/>
    <w:tmpl w:val="5E702DC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9EE2ADC"/>
    <w:multiLevelType w:val="multilevel"/>
    <w:tmpl w:val="69EE2AD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97E7CBD"/>
    <w:rsid w:val="0981682B"/>
    <w:rsid w:val="1AC37A08"/>
    <w:rsid w:val="1F3B034F"/>
    <w:rsid w:val="33D40C7D"/>
    <w:rsid w:val="3D2E204C"/>
    <w:rsid w:val="4258744E"/>
    <w:rsid w:val="45A92BE0"/>
    <w:rsid w:val="687A12B0"/>
    <w:rsid w:val="6FE4563F"/>
    <w:rsid w:val="71E0010A"/>
    <w:rsid w:val="7D3A56F2"/>
    <w:rsid w:val="7FC6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Основной текст (2)"/>
    <w:basedOn w:val="1"/>
    <w:uiPriority w:val="0"/>
    <w:pPr>
      <w:widowControl w:val="0"/>
      <w:shd w:val="clear" w:color="auto" w:fill="FFFFFF"/>
      <w:spacing w:after="240" w:line="274" w:lineRule="exact"/>
      <w:jc w:val="both"/>
    </w:pPr>
    <w:rPr>
      <w:rFonts w:ascii="Calibri" w:hAnsi="Calibri" w:eastAsia="Calibri"/>
    </w:rPr>
  </w:style>
  <w:style w:type="paragraph" w:customStyle="1" w:styleId="8">
    <w:name w:val="Основной текст 31"/>
    <w:basedOn w:val="1"/>
    <w:qFormat/>
    <w:uiPriority w:val="0"/>
    <w:pPr>
      <w:suppressAutoHyphens/>
    </w:pPr>
    <w:rPr>
      <w:sz w:val="28"/>
      <w:lang w:eastAsia="ar-SA"/>
    </w:rPr>
  </w:style>
  <w:style w:type="character" w:customStyle="1" w:styleId="9">
    <w:name w:val="Основной текст (5)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2022-03-28T09:10:57Z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