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</w:rPr>
        <w:drawing>
          <wp:inline distT="0" distB="0" distL="114300" distR="114300">
            <wp:extent cx="894715" cy="799465"/>
            <wp:effectExtent l="0" t="0" r="444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ru-RU"/>
        </w:rPr>
        <w:t xml:space="preserve">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т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>30.11.2021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        №</w:t>
      </w:r>
      <w:r>
        <w:rPr>
          <w:rFonts w:hint="default"/>
          <w:b/>
          <w:bCs/>
          <w:sz w:val="28"/>
          <w:szCs w:val="28"/>
          <w:lang w:val="ru-RU"/>
        </w:rPr>
        <w:t>175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Нагово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1" w:type="dxa"/>
            <w:noWrap w:val="0"/>
            <w:vAlign w:val="top"/>
          </w:tcPr>
          <w:p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  <w:lang w:val="ru-RU"/>
              </w:rPr>
              <w:t>внесении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  <w:lang w:val="ru-RU"/>
              </w:rPr>
              <w:t>ую</w:t>
            </w:r>
            <w:r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  <w:lang w:val="ru-RU"/>
              </w:rPr>
              <w:t>у</w:t>
            </w:r>
            <w:r>
              <w:rPr>
                <w:b/>
                <w:sz w:val="28"/>
                <w:szCs w:val="28"/>
              </w:rPr>
              <w:t xml:space="preserve"> "Развитие информационного общества  </w:t>
            </w:r>
            <w:r>
              <w:rPr>
                <w:b/>
                <w:sz w:val="28"/>
                <w:szCs w:val="28"/>
                <w:lang w:val="ru-RU"/>
              </w:rPr>
              <w:t>Нагов</w:t>
            </w:r>
            <w:r>
              <w:rPr>
                <w:b/>
                <w:sz w:val="28"/>
                <w:szCs w:val="28"/>
              </w:rPr>
              <w:t>ского сельского поселения на 20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>
              <w:rPr>
                <w:b/>
                <w:sz w:val="28"/>
                <w:szCs w:val="28"/>
              </w:rPr>
              <w:t>-2023 годы»</w:t>
            </w:r>
          </w:p>
        </w:tc>
      </w:tr>
    </w:tbl>
    <w:p>
      <w:pPr>
        <w:ind w:firstLine="980" w:firstLineChars="35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 основании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решения Совета депутатов от </w:t>
      </w:r>
      <w:r>
        <w:rPr>
          <w:rFonts w:hint="default"/>
          <w:sz w:val="28"/>
          <w:szCs w:val="28"/>
          <w:lang w:val="ru-RU"/>
        </w:rPr>
        <w:t>26.11.2021   №51</w:t>
      </w:r>
      <w:r>
        <w:rPr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«О внесении изменений в решение Совета депутатов Наговского сельского поселения от </w:t>
      </w:r>
      <w:r>
        <w:rPr>
          <w:rFonts w:hint="default"/>
          <w:sz w:val="28"/>
          <w:szCs w:val="28"/>
          <w:lang w:val="ru-RU"/>
        </w:rPr>
        <w:t>29.12.2020 №21</w:t>
      </w:r>
      <w:r>
        <w:rPr>
          <w:sz w:val="28"/>
          <w:szCs w:val="28"/>
          <w:lang w:val="ru-RU"/>
        </w:rPr>
        <w:t xml:space="preserve">  «О бюджете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Наговского сельского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 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годов», в связи с изменением запланированных мероприятий</w:t>
      </w:r>
      <w:r>
        <w:rPr>
          <w:rFonts w:hint="default"/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перераспределением</w:t>
      </w:r>
      <w:r>
        <w:rPr>
          <w:rFonts w:hint="default"/>
          <w:sz w:val="28"/>
          <w:szCs w:val="28"/>
          <w:lang w:val="ru-RU"/>
        </w:rPr>
        <w:t xml:space="preserve"> бюджетных средств</w:t>
      </w:r>
      <w:r>
        <w:rPr>
          <w:sz w:val="28"/>
          <w:szCs w:val="28"/>
          <w:lang w:val="ru-RU"/>
        </w:rPr>
        <w:t xml:space="preserve">,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изменения в</w:t>
      </w:r>
      <w:r>
        <w:rPr>
          <w:sz w:val="28"/>
          <w:szCs w:val="28"/>
        </w:rPr>
        <w:t xml:space="preserve"> муниципальную программу "</w:t>
      </w:r>
      <w:r>
        <w:rPr>
          <w:sz w:val="28"/>
        </w:rPr>
        <w:t xml:space="preserve">Развитие информационного общества  </w:t>
      </w:r>
      <w:r>
        <w:rPr>
          <w:sz w:val="28"/>
          <w:lang w:val="ru-RU"/>
        </w:rPr>
        <w:t>Нагов</w:t>
      </w:r>
      <w:r>
        <w:rPr>
          <w:sz w:val="28"/>
        </w:rPr>
        <w:t>ского сельского поселения на 20</w:t>
      </w:r>
      <w:r>
        <w:rPr>
          <w:sz w:val="28"/>
          <w:lang w:val="ru-RU"/>
        </w:rPr>
        <w:t>20</w:t>
      </w:r>
      <w:r>
        <w:rPr>
          <w:sz w:val="28"/>
        </w:rPr>
        <w:t>-2023 годы»</w:t>
      </w:r>
      <w:r>
        <w:rPr>
          <w:sz w:val="32"/>
          <w:szCs w:val="28"/>
        </w:rPr>
        <w:t>"</w:t>
      </w:r>
      <w:r>
        <w:rPr>
          <w:rFonts w:hint="default"/>
          <w:sz w:val="32"/>
          <w:szCs w:val="28"/>
          <w:lang w:val="ru-RU"/>
        </w:rPr>
        <w:t xml:space="preserve">, </w:t>
      </w:r>
      <w:r>
        <w:rPr>
          <w:rFonts w:hint="default"/>
          <w:sz w:val="28"/>
          <w:szCs w:val="28"/>
          <w:lang w:val="ru-RU"/>
        </w:rPr>
        <w:t>утвержденную постановлением Администрации Наговского сельского поселения от 02.09.2019 №108:</w: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sz w:val="28"/>
          <w:szCs w:val="28"/>
        </w:rPr>
        <w:sectPr>
          <w:headerReference r:id="rId3" w:type="default"/>
          <w:pgSz w:w="11906" w:h="16838"/>
          <w:pgMar w:top="1140" w:right="1140" w:bottom="850" w:left="561" w:header="567" w:footer="567" w:gutter="0"/>
          <w:cols w:space="0" w:num="1"/>
          <w:titlePg/>
          <w:rtlGutter w:val="0"/>
          <w:docGrid w:linePitch="360" w:charSpace="0"/>
        </w:sectPr>
      </w:pPr>
    </w:p>
    <w:p>
      <w:pPr>
        <w:jc w:val="both"/>
        <w:rPr>
          <w:b w:val="0"/>
          <w:bCs/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ru-RU"/>
        </w:rPr>
        <w:t>1.</w:t>
      </w:r>
      <w:r>
        <w:rPr>
          <w:b w:val="0"/>
          <w:bCs/>
          <w:sz w:val="24"/>
          <w:szCs w:val="24"/>
          <w:lang w:eastAsia="ru-RU"/>
        </w:rPr>
        <w:t>Пункт</w:t>
      </w:r>
      <w:r>
        <w:rPr>
          <w:rFonts w:hint="default"/>
          <w:b w:val="0"/>
          <w:bCs/>
          <w:sz w:val="24"/>
          <w:szCs w:val="24"/>
          <w:lang w:val="en-US" w:eastAsia="ru-RU"/>
        </w:rPr>
        <w:t xml:space="preserve"> </w:t>
      </w:r>
      <w:r>
        <w:rPr>
          <w:b w:val="0"/>
          <w:bCs/>
          <w:sz w:val="24"/>
          <w:szCs w:val="24"/>
          <w:lang w:eastAsia="ru-RU"/>
        </w:rPr>
        <w:t>7</w:t>
      </w:r>
      <w:r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</w:t>
      </w:r>
      <w:r>
        <w:rPr>
          <w:rFonts w:hint="default"/>
          <w:b/>
          <w:sz w:val="24"/>
          <w:szCs w:val="24"/>
          <w:lang w:val="ru-RU"/>
        </w:rPr>
        <w:t xml:space="preserve">» </w:t>
      </w:r>
      <w:r>
        <w:rPr>
          <w:rFonts w:hint="default"/>
          <w:b w:val="0"/>
          <w:bCs/>
          <w:sz w:val="24"/>
          <w:szCs w:val="24"/>
          <w:lang w:val="ru-RU"/>
        </w:rPr>
        <w:t>изложить в следующей редакции</w:t>
      </w:r>
      <w:r>
        <w:rPr>
          <w:b w:val="0"/>
          <w:bCs/>
          <w:sz w:val="24"/>
          <w:szCs w:val="24"/>
        </w:rPr>
        <w:t>:</w:t>
      </w: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tbl>
      <w:tblPr>
        <w:tblStyle w:val="3"/>
        <w:tblW w:w="15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64"/>
        <w:gridCol w:w="2751"/>
        <w:gridCol w:w="2470"/>
        <w:gridCol w:w="3072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vMerge w:val="restart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174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45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276,0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77,1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77,1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283,6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288,6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5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25,3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25,3</w:t>
            </w:r>
          </w:p>
        </w:tc>
      </w:tr>
    </w:tbl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val="ru-RU" w:eastAsia="en-US"/>
        </w:rPr>
        <w:t>Раздел</w:t>
      </w:r>
      <w:r>
        <w:rPr>
          <w:rFonts w:hint="default" w:eastAsia="Calibri"/>
          <w:b/>
          <w:sz w:val="24"/>
          <w:szCs w:val="24"/>
          <w:lang w:val="ru-RU" w:eastAsia="en-US"/>
        </w:rPr>
        <w:t xml:space="preserve"> </w:t>
      </w:r>
      <w:r>
        <w:rPr>
          <w:rFonts w:eastAsia="Calibri"/>
          <w:b/>
          <w:sz w:val="24"/>
          <w:szCs w:val="24"/>
          <w:lang w:val="en-US" w:eastAsia="en-US"/>
        </w:rPr>
        <w:t>IV</w:t>
      </w:r>
      <w:r>
        <w:rPr>
          <w:rFonts w:eastAsia="Calibri"/>
          <w:b/>
          <w:sz w:val="24"/>
          <w:szCs w:val="24"/>
          <w:lang w:eastAsia="en-US"/>
        </w:rPr>
        <w:t xml:space="preserve">. </w:t>
      </w:r>
      <w:r>
        <w:rPr>
          <w:rFonts w:hint="default" w:eastAsia="Calibri"/>
          <w:b/>
          <w:sz w:val="24"/>
          <w:szCs w:val="24"/>
          <w:lang w:val="ru-RU" w:eastAsia="en-US"/>
        </w:rPr>
        <w:t>«</w:t>
      </w:r>
      <w:r>
        <w:rPr>
          <w:rFonts w:eastAsia="Calibri"/>
          <w:b/>
          <w:sz w:val="24"/>
          <w:szCs w:val="24"/>
          <w:lang w:eastAsia="en-US"/>
        </w:rPr>
        <w:t>Мероприятия</w:t>
      </w:r>
      <w:r>
        <w:rPr>
          <w:b/>
          <w:sz w:val="24"/>
          <w:szCs w:val="24"/>
          <w:lang w:eastAsia="en-US"/>
        </w:rPr>
        <w:t xml:space="preserve"> муниципальной программы</w:t>
      </w:r>
      <w:r>
        <w:rPr>
          <w:rFonts w:hint="default"/>
          <w:b/>
          <w:sz w:val="24"/>
          <w:szCs w:val="24"/>
          <w:lang w:val="ru-RU" w:eastAsia="en-US"/>
        </w:rPr>
        <w:t xml:space="preserve">» </w:t>
      </w:r>
      <w:r>
        <w:rPr>
          <w:rFonts w:hint="default"/>
          <w:b w:val="0"/>
          <w:bCs/>
          <w:sz w:val="24"/>
          <w:szCs w:val="24"/>
          <w:lang w:val="ru-RU" w:eastAsia="en-US"/>
        </w:rPr>
        <w:t>изложить в следующей редакции:</w:t>
      </w:r>
    </w:p>
    <w:p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"/>
        <w:tblW w:w="0" w:type="auto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2693"/>
        <w:gridCol w:w="2126"/>
        <w:gridCol w:w="1701"/>
        <w:gridCol w:w="2126"/>
        <w:gridCol w:w="1986"/>
        <w:gridCol w:w="992"/>
        <w:gridCol w:w="992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0"/>
            <w:noWrap w:val="0"/>
            <w:vAlign w:val="top"/>
          </w:tcPr>
          <w:p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b/>
                <w:bCs/>
                <w:sz w:val="24"/>
                <w:szCs w:val="24"/>
              </w:rPr>
              <w:t>-2023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87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Приобретение лицензионного программного обеспечения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11,5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</w:pPr>
            <w:r>
              <w:t>Обновление справочно-информационных баз данных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ind w:firstLine="360" w:firstLineChars="15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</w:pPr>
            <w: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0"/>
            <w:noWrap w:val="0"/>
            <w:vAlign w:val="top"/>
          </w:tcPr>
          <w:p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168" w:type="dxa"/>
            <w:gridSpan w:val="10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168" w:type="dxa"/>
            <w:gridSpan w:val="10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168" w:type="dxa"/>
            <w:gridSpan w:val="10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6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168" w:type="dxa"/>
            <w:gridSpan w:val="10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986" w:type="dxa"/>
            <w:noWrap w:val="0"/>
            <w:vAlign w:val="top"/>
          </w:tcPr>
          <w:p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986" w:type="dxa"/>
            <w:noWrap w:val="0"/>
            <w:vAlign w:val="top"/>
          </w:tcPr>
          <w:p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77</w:t>
            </w:r>
            <w:r>
              <w:rPr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283,6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288,6</w:t>
            </w:r>
          </w:p>
        </w:tc>
      </w:tr>
    </w:tbl>
    <w:p>
      <w:pPr>
        <w:tabs>
          <w:tab w:val="left" w:pos="5100"/>
          <w:tab w:val="left" w:pos="7650"/>
        </w:tabs>
        <w:jc w:val="center"/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 Опубликовать настоящее постановление в муниципальной газете «</w:t>
      </w:r>
      <w:r>
        <w:rPr>
          <w:sz w:val="24"/>
          <w:szCs w:val="24"/>
          <w:lang w:val="ru-RU"/>
        </w:rPr>
        <w:t>Нагов</w:t>
      </w:r>
      <w:r>
        <w:rPr>
          <w:sz w:val="24"/>
          <w:szCs w:val="24"/>
        </w:rPr>
        <w:t>ский вестник».</w:t>
      </w:r>
    </w:p>
    <w:p>
      <w:pPr>
        <w:numPr>
          <w:ilvl w:val="0"/>
          <w:numId w:val="0"/>
        </w:numPr>
        <w:ind w:leftChars="0"/>
        <w:jc w:val="both"/>
        <w:rPr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both"/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Заместитель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Глав</w:t>
      </w:r>
      <w:r>
        <w:rPr>
          <w:b/>
          <w:bCs/>
          <w:sz w:val="24"/>
          <w:szCs w:val="24"/>
          <w:lang w:val="ru-RU"/>
        </w:rPr>
        <w:t>ы</w:t>
      </w:r>
      <w:r>
        <w:rPr>
          <w:b/>
          <w:bCs/>
          <w:sz w:val="24"/>
          <w:szCs w:val="24"/>
        </w:rPr>
        <w:t xml:space="preserve"> администрации </w:t>
      </w:r>
    </w:p>
    <w:p>
      <w:pPr>
        <w:jc w:val="both"/>
      </w:pPr>
      <w:r>
        <w:rPr>
          <w:b/>
          <w:bCs/>
          <w:sz w:val="24"/>
          <w:szCs w:val="24"/>
          <w:lang w:val="ru-RU"/>
        </w:rPr>
        <w:t>Наговского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сельского поселения                         </w:t>
      </w:r>
      <w:r>
        <w:rPr>
          <w:b/>
          <w:bCs/>
          <w:sz w:val="24"/>
          <w:szCs w:val="24"/>
          <w:lang w:val="ru-RU"/>
        </w:rPr>
        <w:t xml:space="preserve">        В</w:t>
      </w:r>
      <w:r>
        <w:rPr>
          <w:rFonts w:hint="default"/>
          <w:b/>
          <w:bCs/>
          <w:sz w:val="24"/>
          <w:szCs w:val="24"/>
          <w:lang w:val="ru-RU"/>
        </w:rPr>
        <w:t>.К. Лукина</w:t>
      </w:r>
      <w:bookmarkStart w:id="0" w:name="_GoBack"/>
      <w:bookmarkEnd w:id="0"/>
    </w:p>
    <w:sectPr>
      <w:pgSz w:w="16838" w:h="11906" w:orient="landscape"/>
      <w:pgMar w:top="561" w:right="1140" w:bottom="1140" w:left="851" w:header="567" w:footer="56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10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EE4EB"/>
    <w:multiLevelType w:val="singleLevel"/>
    <w:tmpl w:val="226EE4E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68801BD0"/>
    <w:rsid w:val="6CF0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6">
    <w:name w:val="Нормальный (таблица)"/>
    <w:basedOn w:val="1"/>
    <w:next w:val="1"/>
    <w:qFormat/>
    <w:uiPriority w:val="9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2021-12-01T09:34:45Z</cp:lastPrinted>
  <dcterms:modified xsi:type="dcterms:W3CDTF">2021-12-01T09:36:04Z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