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inline distT="0" distB="0" distL="114300" distR="114300">
            <wp:extent cx="894080" cy="800735"/>
            <wp:effectExtent l="0" t="0" r="5080" b="698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800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НАГОВСКОГО СЕЛЬСКОГО ПОСЕЛЕНИЯ</w:t>
      </w:r>
    </w:p>
    <w:p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>
      <w:pPr>
        <w:spacing w:before="48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25.10.2021 </w:t>
      </w:r>
      <w:r>
        <w:rPr>
          <w:rFonts w:ascii="Times New Roman" w:hAnsi="Times New Roman"/>
          <w:b/>
          <w:sz w:val="28"/>
          <w:szCs w:val="28"/>
        </w:rPr>
        <w:t xml:space="preserve">    №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141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Нагово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1" w:type="dxa"/>
            <w:noWrap w:val="0"/>
            <w:vAlign w:val="top"/>
          </w:tcPr>
          <w:p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муниципальной программе Наговского 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«Развитие культуры на территории Наговского сельского поселения на 2022-2025 годы»</w:t>
            </w:r>
          </w:p>
        </w:tc>
      </w:tr>
    </w:tbl>
    <w:p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 руководствуясь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"../../../../DOCUME~1/User/LOCALS~1/Temp/культура.doc" \l "Par32#Par32"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5"/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ом принятия решений о разработке муниципальных программ Наговского сельского поселения, их формирования и реализации, утвержденным постановлением Администрации Наговского сельского поселения от 01.10.2013 № 184 и Перечнем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программ Наговского сельского поселения,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утвержденным распоряжением Администрации Наговского сельского поселения от 15.09.2021 № 77-рг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>
      <w:pPr>
        <w:numPr>
          <w:ilvl w:val="0"/>
          <w:numId w:val="1"/>
        </w:numPr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прилагаемую муниципальную программу </w:t>
      </w:r>
      <w:r>
        <w:rPr>
          <w:rFonts w:ascii="Times New Roman" w:hAnsi="Times New Roman"/>
          <w:bCs/>
          <w:sz w:val="28"/>
          <w:szCs w:val="28"/>
        </w:rPr>
        <w:t xml:space="preserve">Наговского сельского поселения </w:t>
      </w:r>
      <w:r>
        <w:rPr>
          <w:rFonts w:ascii="Times New Roman" w:hAnsi="Times New Roman"/>
          <w:sz w:val="28"/>
          <w:szCs w:val="28"/>
        </w:rPr>
        <w:t>«Развитие культуры на территории Наговского сельского поселения на 2022-2025 годы».</w:t>
      </w:r>
    </w:p>
    <w:p>
      <w:pPr>
        <w:numPr>
          <w:ilvl w:val="0"/>
          <w:numId w:val="1"/>
        </w:numPr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1 января 2022года.</w:t>
      </w:r>
    </w:p>
    <w:p>
      <w:pPr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постановление в газете «Наговский вестник».</w:t>
      </w:r>
    </w:p>
    <w:p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администрации </w:t>
      </w:r>
    </w:p>
    <w:p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Наговского сельского поселения                                     В.В. Бучацкий</w:t>
      </w:r>
    </w:p>
    <w:p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1"/>
        <w:gridCol w:w="42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1" w:type="dxa"/>
            <w:noWrap w:val="0"/>
            <w:vAlign w:val="top"/>
          </w:tcPr>
          <w:p>
            <w:pPr>
              <w:tabs>
                <w:tab w:val="left" w:pos="6270"/>
              </w:tabs>
              <w:spacing w:before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2" w:type="dxa"/>
            <w:noWrap w:val="0"/>
            <w:vAlign w:val="top"/>
          </w:tcPr>
          <w:p>
            <w:pPr>
              <w:tabs>
                <w:tab w:val="left" w:pos="6270"/>
              </w:tabs>
              <w:spacing w:before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1" w:type="dxa"/>
            <w:noWrap w:val="0"/>
            <w:vAlign w:val="top"/>
          </w:tcPr>
          <w:p>
            <w:pPr>
              <w:tabs>
                <w:tab w:val="left" w:pos="627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2" w:type="dxa"/>
            <w:noWrap w:val="0"/>
            <w:vAlign w:val="top"/>
          </w:tcPr>
          <w:p>
            <w:pPr>
              <w:tabs>
                <w:tab w:val="left" w:pos="627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>
            <w:pPr>
              <w:tabs>
                <w:tab w:val="left" w:pos="627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Наговского сельского поселения</w:t>
            </w:r>
          </w:p>
          <w:p>
            <w:pPr>
              <w:tabs>
                <w:tab w:val="left" w:pos="6270"/>
              </w:tabs>
              <w:spacing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25.10.2021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141</w:t>
            </w:r>
            <w:bookmarkStart w:id="0" w:name="_GoBack"/>
            <w:bookmarkEnd w:id="0"/>
          </w:p>
        </w:tc>
      </w:tr>
    </w:tbl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>
      <w:pPr>
        <w:pStyle w:val="6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Развитие культуры на территории Наговского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на 2022-2025 годы»</w:t>
      </w:r>
    </w:p>
    <w:p>
      <w:pPr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Наименование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Муниципальная программа Наговского сельского поселения </w:t>
      </w:r>
      <w:r>
        <w:rPr>
          <w:rFonts w:ascii="Times New Roman" w:hAnsi="Times New Roman"/>
          <w:sz w:val="28"/>
          <w:szCs w:val="28"/>
        </w:rPr>
        <w:t>«Развитие культуры на территории Наговского сельского поселения на 2022-2025 годы»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(далее - </w:t>
      </w:r>
      <w:r>
        <w:rPr>
          <w:rFonts w:ascii="Times New Roman" w:hAnsi="Times New Roman"/>
          <w:bCs/>
          <w:sz w:val="28"/>
          <w:szCs w:val="28"/>
        </w:rPr>
        <w:t>Муниципальная программа).</w:t>
      </w:r>
    </w:p>
    <w:p>
      <w:pPr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Ответственный исполнитель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Администрация Наговского сельского поселения;</w:t>
      </w:r>
    </w:p>
    <w:p>
      <w:pPr>
        <w:overflowPunct w:val="0"/>
        <w:autoSpaceDN w:val="0"/>
        <w:adjustRightInd w:val="0"/>
        <w:spacing w:line="360" w:lineRule="exact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Соисполнители муниципальной программы:</w:t>
      </w:r>
      <w:r>
        <w:rPr>
          <w:rFonts w:ascii="Times New Roman" w:hAnsi="Times New Roman"/>
          <w:sz w:val="28"/>
          <w:szCs w:val="28"/>
        </w:rPr>
        <w:t xml:space="preserve"> отсутствуют</w:t>
      </w:r>
    </w:p>
    <w:p>
      <w:pPr>
        <w:autoSpaceDN w:val="0"/>
        <w:adjustRightInd w:val="0"/>
        <w:spacing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Подпрограммы муниципальной программы: </w:t>
      </w:r>
      <w:r>
        <w:rPr>
          <w:rFonts w:ascii="Times New Roman" w:hAnsi="Times New Roman"/>
          <w:sz w:val="28"/>
          <w:szCs w:val="28"/>
        </w:rPr>
        <w:t>отсутствуют</w:t>
      </w:r>
    </w:p>
    <w:p>
      <w:pPr>
        <w:autoSpaceDN w:val="0"/>
        <w:adjustRightInd w:val="0"/>
        <w:spacing w:line="340" w:lineRule="exac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Цели, задачи и целевые показатели муниципальной программы:</w:t>
      </w:r>
    </w:p>
    <w:p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Style w:val="4"/>
        <w:tblW w:w="5600" w:type="pct"/>
        <w:tblInd w:w="-918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70"/>
        <w:gridCol w:w="4958"/>
        <w:gridCol w:w="1137"/>
        <w:gridCol w:w="138"/>
        <w:gridCol w:w="1141"/>
        <w:gridCol w:w="134"/>
        <w:gridCol w:w="1156"/>
        <w:gridCol w:w="128"/>
        <w:gridCol w:w="1282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Цели, задачи муниципальной программы, наименование и единица измерения целевого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240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2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3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0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64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2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7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4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2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pct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Повышение роли культуры как духовно-нравственного основания развития личности и единства общества и приобщения граждан к  культурному  наследию.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культуры.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2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32" w:type="pct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270"/>
              </w:tabs>
              <w:spacing w:line="19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Задача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Сохранение культурного и исторического наследия Наговского сельского поселения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2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32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Доля мероприятий, направленных на популяризацию  культурного и исторического наследия Наговского сельского поселения, патриотическое воспитание населения по сравнению с предыдущим годом (%)</w:t>
            </w:r>
          </w:p>
        </w:tc>
        <w:tc>
          <w:tcPr>
            <w:tcW w:w="597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53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60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664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2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</w:t>
            </w:r>
          </w:p>
        </w:tc>
        <w:tc>
          <w:tcPr>
            <w:tcW w:w="4732" w:type="pct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Задача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Привлечение населения к участию в культурной жизни,  развитие и совершенствование форм культурно-досуговой деятельности,  самодеятельного художественного творчества  населения и сохранение традиционной народной культуры, народных промыслов и ремёсел на территории Наговского сельского поселения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2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32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27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Уровень удовлетворенности граждан, проживающих в Наговском сельском поселении, качеством предоставления  муниципальных услуг в сфере культуры (%)</w:t>
            </w:r>
          </w:p>
        </w:tc>
        <w:tc>
          <w:tcPr>
            <w:tcW w:w="599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9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01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2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32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Доля численности участников культурно-досуговых мероприятий, по сравнению с предыдущим годом (%)</w:t>
            </w:r>
          </w:p>
        </w:tc>
        <w:tc>
          <w:tcPr>
            <w:tcW w:w="599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599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601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6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2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32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3 </w:t>
            </w:r>
            <w:r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платных культурно-досуговых мероприятиях, проводимых муниципальными учреждениями  культуры</w:t>
            </w:r>
          </w:p>
        </w:tc>
        <w:tc>
          <w:tcPr>
            <w:tcW w:w="599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610,5</w:t>
            </w:r>
          </w:p>
        </w:tc>
        <w:tc>
          <w:tcPr>
            <w:tcW w:w="599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610,7</w:t>
            </w:r>
          </w:p>
        </w:tc>
        <w:tc>
          <w:tcPr>
            <w:tcW w:w="601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610,8</w:t>
            </w:r>
          </w:p>
        </w:tc>
        <w:tc>
          <w:tcPr>
            <w:tcW w:w="6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610,9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2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32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Среднее число участников клубных формирований в расчете на 1 тыс. человек населения (единица)</w:t>
            </w:r>
          </w:p>
        </w:tc>
        <w:tc>
          <w:tcPr>
            <w:tcW w:w="599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599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601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6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2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32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5 </w:t>
            </w:r>
            <w:r>
              <w:rPr>
                <w:rFonts w:ascii="Times New Roman" w:hAnsi="Times New Roman"/>
                <w:sz w:val="24"/>
                <w:szCs w:val="24"/>
              </w:rPr>
              <w:t>Доля детей, привлекаемых к участию в творческих мероприятиях, в общем числе детей, проживающих в Наговском сельском поселении, (%)</w:t>
            </w:r>
          </w:p>
        </w:tc>
        <w:tc>
          <w:tcPr>
            <w:tcW w:w="599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599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601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6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2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32" w:type="pct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Задача 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Сохранение кадрового потенциала сферы культуры  и повышение социального статуса работников культуры; создание условий для доступности участия всего населения в культурной жизни, укрепление материально-технической базы учреждений культуры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ab/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2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32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номинальной начисленной заработной платы работников муниципальных учреждений культуры  к среднемесячной номинальной начисленной заработной плате по экономике в области (%)</w:t>
            </w:r>
          </w:p>
        </w:tc>
        <w:tc>
          <w:tcPr>
            <w:tcW w:w="599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9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26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32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 </w:t>
            </w:r>
          </w:p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культуры,</w:t>
            </w:r>
          </w:p>
          <w:p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прошедших профессиональную переподготовку или повышение квалификации </w:t>
            </w:r>
          </w:p>
        </w:tc>
        <w:tc>
          <w:tcPr>
            <w:tcW w:w="599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599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601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6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3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муниципального задания в рамках соглашения о предоставлении субсидий на выполнение муниципального задания (%)</w:t>
            </w:r>
          </w:p>
        </w:tc>
        <w:tc>
          <w:tcPr>
            <w:tcW w:w="5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Задача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Ресурсное обеспечение деятельности учреждений культуры по реализации муниципальной программы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1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ежегодного достижения целевых показателей (%)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2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освоения средств, выделенных на реализацию полномочий в сфере культуры (%)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>
      <w:pPr>
        <w:pStyle w:val="8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Сроки реализации муниципальной программы: 2022 – 2025 годы</w:t>
      </w:r>
    </w:p>
    <w:p>
      <w:pPr>
        <w:pStyle w:val="8"/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left="567"/>
        <w:jc w:val="both"/>
        <w:rPr>
          <w:sz w:val="28"/>
          <w:szCs w:val="28"/>
          <w:lang w:eastAsia="en-US"/>
        </w:rPr>
      </w:pPr>
    </w:p>
    <w:p>
      <w:pPr>
        <w:pStyle w:val="8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exact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Style w:val="4"/>
        <w:tblW w:w="10632" w:type="dxa"/>
        <w:tblInd w:w="-918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135"/>
        <w:gridCol w:w="1276"/>
        <w:gridCol w:w="1276"/>
        <w:gridCol w:w="1559"/>
        <w:gridCol w:w="1559"/>
        <w:gridCol w:w="1276"/>
        <w:gridCol w:w="1276"/>
        <w:gridCol w:w="1275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4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Старая Русса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9175,4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9175,4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9175,4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9175,4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9175,4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9175,4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9175,4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9175,4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36701,6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36701,6</w:t>
            </w:r>
          </w:p>
        </w:tc>
      </w:tr>
    </w:tbl>
    <w:p>
      <w:pPr>
        <w:pStyle w:val="9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Ожидаемые конечные результаты реализации муниципальной программы:</w:t>
      </w:r>
    </w:p>
    <w:p>
      <w:pPr>
        <w:pStyle w:val="9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удовлетворенности граждан, проживающих в сельском поселении, качеством предоставления государственных и муниципальных услуг в сфере культуры, к 2025 году до 75%;</w:t>
      </w:r>
    </w:p>
    <w:p>
      <w:pPr>
        <w:pStyle w:val="9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посетителей платных мероприятий культурно-досуговых учреждений к 2025 году до 610,9;</w:t>
      </w:r>
    </w:p>
    <w:p>
      <w:pPr>
        <w:pStyle w:val="9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детей, привлекаемых к участию в творческих мероприятиях, в общем числе детей, проживающих в области, к 2025 году до 55.8%;</w:t>
      </w:r>
    </w:p>
    <w:p>
      <w:pPr>
        <w:pStyle w:val="9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среднего уровня заработной платы работников учреждений культуры к 2025 году до 38188,0 рублей.</w:t>
      </w:r>
    </w:p>
    <w:p>
      <w:pPr>
        <w:pStyle w:val="2"/>
        <w:spacing w:before="0" w:beforeAutospacing="0" w:after="0" w:afterAutospacing="0"/>
        <w:ind w:firstLine="540"/>
        <w:jc w:val="both"/>
        <w:rPr>
          <w:rFonts w:eastAsia="Times New Roman"/>
          <w:b w:val="0"/>
          <w:kern w:val="0"/>
          <w:sz w:val="28"/>
          <w:szCs w:val="28"/>
          <w:lang w:eastAsia="en-US"/>
        </w:rPr>
      </w:pPr>
    </w:p>
    <w:p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для  показателей берутся из отчётной ведомственной статистики свода годовых сведений об учреждениях системы Министерства культуры РФ за 2012 год утвержденные приказом Министерства культуры РФ от 15.07.2011  № 324( ред. от 05.03.2015, с изм. от 06.08.2015г.) (форма 7-НК), сведения о численности и заработной плате работников, утверждена приказом Росстата от 24.07.2012 № 407 (форма № П-4), ред. 24.09.2014г.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Характеристика текущего состояния в сфере развития культуры, приоритеты и цели государственной политики в данной сфере</w:t>
      </w:r>
    </w:p>
    <w:p>
      <w:pPr>
        <w:pStyle w:val="1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N w:val="0"/>
        <w:adjustRightInd w:val="0"/>
        <w:spacing w:line="259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Реализация Программы осуществляется в значимой сфере экономики Наговского сельского поселения: культуре.</w:t>
      </w:r>
    </w:p>
    <w:p>
      <w:pPr>
        <w:autoSpaceDN w:val="0"/>
        <w:adjustRightInd w:val="0"/>
        <w:spacing w:line="259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Государственная, региональная и 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>
      <w:pPr>
        <w:spacing w:line="259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Наговском сельском поселении на сегодняшний день имеется значительный культурный потенциал: сеть учреждений культуры, квалифицированные кадры.</w:t>
      </w:r>
    </w:p>
    <w:p>
      <w:pPr>
        <w:spacing w:line="259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Основой инфраструктуры культуры Наговского сельского поселения является  Муниципальное бюджетное учреждение культуры «Бурегский сельский Дом культуры» и его филиалы: Бакочинский СДК, Большевороновский СДК, Борисовский СДК, Луньшинский СДК,  оказывающие услуги в сфере культуры.</w:t>
      </w:r>
    </w:p>
    <w:p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Формированию единого культурного пространства Наговского сельского поселения  способствовало созданию возможностей получения жителями  поселения доступа к культурным ценностям, проведение культурных акций, конкурсов и фестивалей, выставок, ремонт и оснащение муниципальных учреждений культуры.</w:t>
      </w:r>
    </w:p>
    <w:p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 самодеятельного творчества. </w:t>
      </w:r>
    </w:p>
    <w:p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Учреждения культуры своей деятельностью активно способствуют социально-экономическому развитию Наговского сельского поселения. Несоответствие материально-технического состояния и оснащенности учреждений культуры современным нормам и социокультурным потребностям населения снижает возможность обеспечения равного доступа населения Наговского сельского поселения к услугам в сфере культуры и повышения качества оказываемых услуг.</w:t>
      </w:r>
    </w:p>
    <w:p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Время предъявляет повышенные требования к обеспечению безопасности посетителей учреждений культуры. Необходимы средства на проведение пожарно-охранных мероприятий и средств безопасности. Обеспечение устойчивой и надежной работы объектов культуры требует значительных капитальных вложений. </w:t>
      </w:r>
    </w:p>
    <w:p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Проблемами в культурно-досуговой деятельности являются: недостаточное обеспечение компьютерной техникой, слабая техническая оснащенность, неполное соответствие современным требованием образовательного уровня специалистов культурно-досуговых учреждений.</w:t>
      </w:r>
    </w:p>
    <w:p>
      <w:pPr>
        <w:pStyle w:val="11"/>
        <w:widowControl/>
        <w:spacing w:line="23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связи с изменившимися потребностями населения в сфере культуры, необходимостью повышения конкурентоспособности услуг перед образовательными учреждениями культуры стоит задача модернизации традиционных направлений их деятельности. </w:t>
      </w:r>
    </w:p>
    <w:p>
      <w:pPr>
        <w:spacing w:line="247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>
      <w:pPr>
        <w:autoSpaceDN w:val="0"/>
        <w:adjustRightInd w:val="0"/>
        <w:jc w:val="center"/>
        <w:rPr>
          <w:rFonts w:ascii="Times New Roman" w:hAnsi="Times New Roman"/>
          <w:kern w:val="2"/>
          <w:sz w:val="28"/>
          <w:szCs w:val="28"/>
        </w:rPr>
      </w:pPr>
    </w:p>
    <w:p>
      <w:pPr>
        <w:spacing w:line="36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Основные показатели и анализ социальных, финансово-экономических и прочих рисков реализации муниципальной программы</w:t>
      </w:r>
    </w:p>
    <w:p>
      <w:pPr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>
      <w:pPr>
        <w:pStyle w:val="12"/>
        <w:widowControl/>
        <w:tabs>
          <w:tab w:val="left" w:pos="0"/>
          <w:tab w:val="left" w:pos="180"/>
        </w:tabs>
        <w:spacing w:line="247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Целевыми показателями Программы являются:</w:t>
      </w:r>
    </w:p>
    <w:p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мероприятий, направленных на популяризацию  культурного и исторического наследия Наговского сельского поселения, патриотическое воспитание населения по сравнению с предыдущим годом;</w:t>
      </w:r>
    </w:p>
    <w:p>
      <w:pPr>
        <w:spacing w:line="235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увеличение уровня удовлетворенности граждан, проживающих в Наговском сельском поселении, качеством предоставления  муниципальных услуг в сфере культуры</w:t>
      </w:r>
      <w:r>
        <w:rPr>
          <w:rFonts w:ascii="Times New Roman" w:hAnsi="Times New Roman"/>
          <w:kern w:val="2"/>
          <w:sz w:val="28"/>
          <w:szCs w:val="28"/>
        </w:rPr>
        <w:t>;</w:t>
      </w:r>
    </w:p>
    <w:p>
      <w:pPr>
        <w:spacing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мероприятий, по сравнению с предыдущим годом;</w:t>
      </w:r>
    </w:p>
    <w:p>
      <w:pPr>
        <w:spacing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увеличение численности населения, участвующего в платных культурно-досуговых мероприятиях, проводимых муниципальными учреждениями  культуры;   </w:t>
      </w:r>
    </w:p>
    <w:p>
      <w:pPr>
        <w:spacing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увеличение  числа участников клубных формирований в расчете на 1 тыс. человек населения; </w:t>
      </w:r>
    </w:p>
    <w:p>
      <w:pPr>
        <w:spacing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по экономике в области;</w:t>
      </w:r>
    </w:p>
    <w:p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увеличение числа  работников муниципальных учреждений культуры, прошедших профессиональную переподготовку или повышение квалификации;</w:t>
      </w:r>
    </w:p>
    <w:p>
      <w:pPr>
        <w:spacing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выполнение муниципального задания в рамках соглашения о предоставлении субсидий на выполнение муниципального задания;</w:t>
      </w:r>
    </w:p>
    <w:p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рамках реализации Программы могут быть выделены следующие риски ее реализации.</w:t>
      </w:r>
    </w:p>
    <w:p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Правовые риски связаны с изменением федерального, областного и муниципального 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Для минимизации воздействия данной группы рисков в рамках реализации Программы планируется:</w:t>
      </w:r>
    </w:p>
    <w:p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проводить мониторинг планируемых изменений в федеральном, областном и муниципальном законодательстве в сфере культуры и смежных областях.</w:t>
      </w:r>
    </w:p>
    <w:p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на сферу культуры.</w:t>
      </w:r>
    </w:p>
    <w:p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Способами ограничения финансовых рисков выступают следующие меры:</w:t>
      </w:r>
    </w:p>
    <w:p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определение приоритетов для первоочередного финансирования;</w:t>
      </w:r>
    </w:p>
    <w:p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привлечение внебюджетного финансирования.</w:t>
      </w:r>
    </w:p>
    <w:p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Макроэкономические риски связаны с возможностями ухудшения внутренней и внешней конъюнктуры, снижения темпов роста национальной экономики и уровня инвестиционной активности, высокой инфляцией, а также с кризисом банковской системы и возникновением бюджетного дефицита, что может вызвать снижение инвестиционной привлекательности сферы культуры, необоснованный рост стоимости услуг в сфере культуры, а также существенно снизить объем платных услуг в сфере культуры.</w:t>
      </w:r>
    </w:p>
    <w:p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Изменение стоимости предоставления муниципальных услуг (выполнения работ) может негативно сказаться на структуре потребительских предпочтений населения. Эти риски могут отразиться на возможности реализации наиболее затратных мероприятий Программы, в том числе связанных со строительством, реконструкцией и капитальным ремонтом учреждений культуры.</w:t>
      </w:r>
    </w:p>
    <w:p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Основными условиями минимизации административных рисков являются:</w:t>
      </w:r>
    </w:p>
    <w:p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регулярная публикация отчетов о ходе реализации Программы;</w:t>
      </w:r>
    </w:p>
    <w:p>
      <w:pPr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повышение  эффективности  взаимодействия  участников  реализации Программы;</w:t>
      </w:r>
    </w:p>
    <w:p>
      <w:pPr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создание  системы мониторинга  реализации  Программы;</w:t>
      </w:r>
    </w:p>
    <w:p>
      <w:pPr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своевременная  корректировка  мероприятий Программы.</w:t>
      </w:r>
    </w:p>
    <w:p>
      <w:pPr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Кадровые  риски  обусловлены  значительным  дефицитом высококвалифицированных  кадров  в сфере культуры, что снижает эффективность работы  учреждений  сферы  культуры  и качество предоставляемых услуг.</w:t>
      </w:r>
    </w:p>
    <w:p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>
      <w:pPr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Механизм управления реализацией муниципальной программы</w:t>
      </w:r>
    </w:p>
    <w:p>
      <w:pPr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Оценку  соотношения  эффективности реализации  муниципальной программы с приоритетами,  целями  и  показателями  прогноза социально-экономического развития  поселения и  контроль  за реализацией  муниципальной  программы осуществляет  Глава  </w:t>
      </w:r>
      <w:r>
        <w:rPr>
          <w:rFonts w:ascii="Times New Roman" w:hAnsi="Times New Roman"/>
          <w:kern w:val="2"/>
          <w:sz w:val="28"/>
          <w:szCs w:val="28"/>
        </w:rPr>
        <w:t>Наговского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поселения.</w:t>
      </w:r>
    </w:p>
    <w:p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осуществляет:</w:t>
      </w:r>
    </w:p>
    <w:p>
      <w:pPr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непосредственный  контроль  за ходом реализации мероприятий муниципальной программы;</w:t>
      </w:r>
    </w:p>
    <w:p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координацию выполнения мероприятий муниципальной программы;</w:t>
      </w:r>
    </w:p>
    <w:p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эффективности реализации муниципальной программы, целевого использования средств;</w:t>
      </w:r>
    </w:p>
    <w:p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внедрения информационных технологий в целях управления реализацией муниципальной программой;</w:t>
      </w:r>
    </w:p>
    <w:p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составление отчетов о ходе реализации муниципальной программы в соответствии с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HYPERLINK \l "Par32"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ом принятия решений о разработке муниципальных программ </w:t>
      </w:r>
      <w:r>
        <w:rPr>
          <w:rFonts w:ascii="Times New Roman" w:hAnsi="Times New Roman"/>
          <w:kern w:val="2"/>
          <w:sz w:val="28"/>
          <w:szCs w:val="28"/>
        </w:rPr>
        <w:t>Наговского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их формирования и реализации, утвержденным постановлением Администрации </w:t>
      </w:r>
      <w:r>
        <w:rPr>
          <w:rFonts w:ascii="Times New Roman" w:hAnsi="Times New Roman"/>
          <w:kern w:val="2"/>
          <w:sz w:val="28"/>
          <w:szCs w:val="28"/>
        </w:rPr>
        <w:t>Наговского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01.10.2013 № 184 (приложение № 5 к Порядку).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отчетным, докладываются Главе </w:t>
      </w:r>
      <w:r>
        <w:rPr>
          <w:rFonts w:ascii="Times New Roman" w:hAnsi="Times New Roman"/>
          <w:kern w:val="2"/>
          <w:sz w:val="28"/>
          <w:szCs w:val="28"/>
        </w:rPr>
        <w:t>Наговского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>
      <w:pPr>
        <w:rPr>
          <w:rFonts w:ascii="Times New Roman" w:hAnsi="Times New Roman"/>
          <w:sz w:val="28"/>
          <w:szCs w:val="28"/>
        </w:rPr>
        <w:sectPr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pStyle w:val="6"/>
        <w:widowControl/>
        <w:spacing w:line="240" w:lineRule="exact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>Мероприятия муниципальной программы</w:t>
      </w:r>
    </w:p>
    <w:p>
      <w:pPr>
        <w:pStyle w:val="6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Развитие культуры на территории Наговского сельского поселения</w:t>
      </w:r>
    </w:p>
    <w:p>
      <w:pPr>
        <w:pStyle w:val="6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2022-2025 годы»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 w:eastAsia="Times New Roman"/>
        </w:rPr>
      </w:pPr>
    </w:p>
    <w:tbl>
      <w:tblPr>
        <w:tblStyle w:val="4"/>
        <w:tblW w:w="16562" w:type="dxa"/>
        <w:tblInd w:w="-20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20"/>
        <w:gridCol w:w="673"/>
        <w:gridCol w:w="3797"/>
        <w:gridCol w:w="6"/>
        <w:gridCol w:w="1907"/>
        <w:gridCol w:w="1063"/>
        <w:gridCol w:w="1134"/>
        <w:gridCol w:w="284"/>
        <w:gridCol w:w="1134"/>
        <w:gridCol w:w="1134"/>
        <w:gridCol w:w="142"/>
        <w:gridCol w:w="992"/>
        <w:gridCol w:w="142"/>
        <w:gridCol w:w="141"/>
        <w:gridCol w:w="993"/>
        <w:gridCol w:w="141"/>
        <w:gridCol w:w="1276"/>
        <w:gridCol w:w="16"/>
        <w:gridCol w:w="154"/>
        <w:gridCol w:w="708"/>
        <w:gridCol w:w="725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3"/>
          <w:wAfter w:w="1587" w:type="dxa"/>
          <w:trHeight w:val="910" w:hRule="atLeast"/>
        </w:trPr>
        <w:tc>
          <w:tcPr>
            <w:tcW w:w="6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N  </w:t>
            </w:r>
            <w:r>
              <w:rPr>
                <w:rFonts w:ascii="Times New Roman" w:hAnsi="Times New Roman" w:eastAsia="Times New Roman"/>
              </w:rPr>
              <w:br w:type="textWrapping"/>
            </w:r>
            <w:r>
              <w:rPr>
                <w:rFonts w:ascii="Times New Roman" w:hAnsi="Times New Roman" w:eastAsia="Times New Roman"/>
              </w:rPr>
              <w:t>п/п</w:t>
            </w:r>
          </w:p>
        </w:tc>
        <w:tc>
          <w:tcPr>
            <w:tcW w:w="38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Наименование   </w:t>
            </w:r>
            <w:r>
              <w:rPr>
                <w:rFonts w:ascii="Times New Roman" w:hAnsi="Times New Roman" w:eastAsia="Times New Roman"/>
              </w:rPr>
              <w:br w:type="textWrapping"/>
            </w:r>
            <w:r>
              <w:rPr>
                <w:rFonts w:ascii="Times New Roman" w:hAnsi="Times New Roman" w:eastAsia="Times New Roman"/>
              </w:rPr>
              <w:t xml:space="preserve">   мероприятия</w:t>
            </w:r>
          </w:p>
        </w:tc>
        <w:tc>
          <w:tcPr>
            <w:tcW w:w="1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Исполнитель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Срок </w:t>
            </w:r>
            <w:r>
              <w:rPr>
                <w:rFonts w:ascii="Times New Roman" w:hAnsi="Times New Roman" w:eastAsia="Times New Roman"/>
              </w:rPr>
              <w:br w:type="textWrapping"/>
            </w:r>
            <w:r>
              <w:rPr>
                <w:rFonts w:ascii="Times New Roman" w:hAnsi="Times New Roman" w:eastAsia="Times New Roman"/>
              </w:rPr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Целевой показатель   </w:t>
            </w:r>
            <w:r>
              <w:rPr>
                <w:rFonts w:ascii="Times New Roman" w:hAnsi="Times New Roman" w:eastAsia="Times New Roman"/>
              </w:rPr>
              <w:br w:type="textWrapping"/>
            </w:r>
            <w:r>
              <w:rPr>
                <w:rFonts w:ascii="Times New Roman" w:hAnsi="Times New Roman" w:eastAsia="Times New Roman"/>
              </w:rPr>
              <w:t>(номер целевого</w:t>
            </w:r>
            <w:r>
              <w:rPr>
                <w:rFonts w:ascii="Times New Roman" w:hAnsi="Times New Roman" w:eastAsia="Times New Roman"/>
              </w:rPr>
              <w:br w:type="textWrapping"/>
            </w:r>
            <w:r>
              <w:rPr>
                <w:rFonts w:ascii="Times New Roman" w:hAnsi="Times New Roman" w:eastAsia="Times New Roman"/>
              </w:rPr>
              <w:t xml:space="preserve"> показателя из </w:t>
            </w:r>
            <w:r>
              <w:rPr>
                <w:rFonts w:ascii="Times New Roman" w:hAnsi="Times New Roman" w:eastAsia="Times New Roman"/>
              </w:rPr>
              <w:br w:type="textWrapping"/>
            </w:r>
            <w:r>
              <w:rPr>
                <w:rFonts w:ascii="Times New Roman" w:hAnsi="Times New Roman" w:eastAsia="Times New Roman"/>
              </w:rPr>
              <w:t xml:space="preserve">   паспорта муниципальной  программы)</w:t>
            </w: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Источник</w:t>
            </w:r>
            <w:r>
              <w:rPr>
                <w:rFonts w:ascii="Times New Roman" w:hAnsi="Times New Roman" w:eastAsia="Times New Roman"/>
              </w:rPr>
              <w:br w:type="textWrapping"/>
            </w:r>
            <w:r>
              <w:rPr>
                <w:rFonts w:ascii="Times New Roman" w:hAnsi="Times New Roman" w:eastAsia="Times New Roman"/>
              </w:rPr>
              <w:t>финансирования</w:t>
            </w:r>
          </w:p>
        </w:tc>
        <w:tc>
          <w:tcPr>
            <w:tcW w:w="49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Объем финансирования</w:t>
            </w:r>
            <w:r>
              <w:rPr>
                <w:rFonts w:ascii="Times New Roman" w:hAnsi="Times New Roman" w:eastAsia="Times New Roman"/>
              </w:rPr>
              <w:br w:type="textWrapping"/>
            </w:r>
            <w:r>
              <w:rPr>
                <w:rFonts w:ascii="Times New Roman" w:hAnsi="Times New Roman" w:eastAsia="Times New Roman"/>
              </w:rPr>
              <w:t>по годам (тыс. руб.)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  <w:trHeight w:val="480" w:hRule="atLeast"/>
        </w:trPr>
        <w:tc>
          <w:tcPr>
            <w:tcW w:w="6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</w:p>
        </w:tc>
        <w:tc>
          <w:tcPr>
            <w:tcW w:w="38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</w:p>
        </w:tc>
        <w:tc>
          <w:tcPr>
            <w:tcW w:w="19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2022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2023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2024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2025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Before w:val="1"/>
          <w:wBefore w:w="0" w:type="dxa"/>
        </w:trPr>
        <w:tc>
          <w:tcPr>
            <w:tcW w:w="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3"/>
          <w:wAfter w:w="1587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302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Задача 1   Сохранение культурного и исторического наследия </w:t>
            </w:r>
            <w:r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Наговского сельского поселения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8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Организация и проведение мероприятий, посвященных государственным символам России, Дню России и Дням воинской Славы России </w:t>
            </w:r>
          </w:p>
        </w:tc>
        <w:tc>
          <w:tcPr>
            <w:tcW w:w="19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 МБУК «Бурегский СДК»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8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Организация и проведение мероприятий, посвященных памятным датам Великой Отечественной войны</w:t>
            </w:r>
          </w:p>
        </w:tc>
        <w:tc>
          <w:tcPr>
            <w:tcW w:w="19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 МБУК «Бурегский СДК»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90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3"/>
          <w:wAfter w:w="1587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 </w:t>
            </w:r>
          </w:p>
        </w:tc>
        <w:tc>
          <w:tcPr>
            <w:tcW w:w="14302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Задача 2 Привлечение всего населения к участию в культурной жизни,   развитие и совершенствование форм культурно-досуговой деятельности, самодеятельного художественного творчества,  населения и сохранение традиционной народной культуры, народных промыслов и ремёсел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мониторинга  уровня удовлетворенности населения муниципального района - качеством оказываемых  услуг в сфере культуры </w:t>
            </w:r>
          </w:p>
        </w:tc>
        <w:tc>
          <w:tcPr>
            <w:tcW w:w="19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 МБУК «Бурегский СДК»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1,2,4,5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Информационное обеспечение деятельности в сфере культуры(выпуск афиш, буклетов)</w:t>
            </w:r>
          </w:p>
        </w:tc>
        <w:tc>
          <w:tcPr>
            <w:tcW w:w="19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 МБУК «Бурегский СДК»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2022-2025 годы 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1,2,4,5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2.3.</w:t>
            </w:r>
          </w:p>
        </w:tc>
        <w:tc>
          <w:tcPr>
            <w:tcW w:w="3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240" w:lineRule="exact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Ежегодное проведение праздничных мероприятий и программ:</w:t>
            </w:r>
          </w:p>
          <w:p>
            <w:pPr>
              <w:spacing w:before="120" w:line="240" w:lineRule="exac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1,2,4,5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2.3.1.</w:t>
            </w:r>
          </w:p>
        </w:tc>
        <w:tc>
          <w:tcPr>
            <w:tcW w:w="3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День деревни</w:t>
            </w:r>
          </w:p>
        </w:tc>
        <w:tc>
          <w:tcPr>
            <w:tcW w:w="19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 МБУК «Бурегский СДК»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1,2,4,5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2.3.2.</w:t>
            </w:r>
          </w:p>
        </w:tc>
        <w:tc>
          <w:tcPr>
            <w:tcW w:w="3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Мероприятия, посвященные Дню пожилых людей</w:t>
            </w:r>
          </w:p>
        </w:tc>
        <w:tc>
          <w:tcPr>
            <w:tcW w:w="19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 МБУК «Бурегский СДК»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1,2,4,5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19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разделу 2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7,1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7,1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7,1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3"/>
          <w:wAfter w:w="1587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302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Задача 3  Сохранение кадрового потенциала сферы культуры  и повышение социального статуса работников культуры; создание условий для доступности участия всего населения в культурной жизни, укрепление материально-технической базы учреждений культуры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ab/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8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Повышение квалификации специалистов</w:t>
            </w:r>
          </w:p>
        </w:tc>
        <w:tc>
          <w:tcPr>
            <w:tcW w:w="19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 МБУК «Бурегский СДК»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1,2,4,5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38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учреждений культуры современными системами безопасности, внедрение современных средств противопожарной защиты, проведение профилактических  мероприятий, направленных на безопасность учреждений</w:t>
            </w:r>
          </w:p>
        </w:tc>
        <w:tc>
          <w:tcPr>
            <w:tcW w:w="19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 МБУК «Бурегский СДК»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1,2,4,5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2,0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2,0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2,0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t>2,0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38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капитального и текущего ремонта зданий, помещений и инженерных сетей учреждений культуры, в том числе расходы на разработку проектно-сметной документации  на проведение ремонтов</w:t>
            </w:r>
          </w:p>
        </w:tc>
        <w:tc>
          <w:tcPr>
            <w:tcW w:w="19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 МБУК «Бурегский СДК»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1,2,4,5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38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220" w:lineRule="exact"/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</w:rPr>
              <w:t>Приобретение оргтехники, мебели,  средств технического оснащения, в том числе светового, звукоусилительного, сценического оборудования, кинооборудо</w:t>
            </w:r>
            <w:r>
              <w:rPr>
                <w:rFonts w:ascii="Times New Roman" w:hAnsi="Times New Roman"/>
                <w:color w:val="000000"/>
                <w:spacing w:val="-6"/>
              </w:rPr>
              <w:t xml:space="preserve">вания, концертных костюмов, одежды сцены, </w:t>
            </w:r>
            <w:r>
              <w:rPr>
                <w:rFonts w:ascii="Times New Roman" w:hAnsi="Times New Roman"/>
                <w:color w:val="000000"/>
                <w:spacing w:val="-10"/>
              </w:rPr>
              <w:t>компьютерной техники, программного</w:t>
            </w:r>
            <w:r>
              <w:rPr>
                <w:rFonts w:ascii="Times New Roman" w:hAnsi="Times New Roman"/>
                <w:color w:val="000000"/>
              </w:rPr>
              <w:t xml:space="preserve"> обеспечения</w:t>
            </w:r>
          </w:p>
        </w:tc>
        <w:tc>
          <w:tcPr>
            <w:tcW w:w="19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 МБУК «Бурегский СДК»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1,2,4,5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</w:t>
            </w:r>
          </w:p>
        </w:tc>
        <w:tc>
          <w:tcPr>
            <w:tcW w:w="38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муниципальных услуг(работ) в области культуры  бюджетными учреждениями (заработная плата)</w:t>
            </w:r>
          </w:p>
          <w:p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 МБУК «Бурегский СДК»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1,2,3,4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9123,9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9123,9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9123,9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9123,9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19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по разделу 3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9168,3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9168,3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9168,3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9168,3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3"/>
          <w:wAfter w:w="1587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4302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Задача 4 Ресурсное обеспечение деятельности учреждений культуры по реализации муниципальной программы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4.1.</w:t>
            </w:r>
          </w:p>
        </w:tc>
        <w:tc>
          <w:tcPr>
            <w:tcW w:w="38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полномочий в сфере культуры</w:t>
            </w:r>
          </w:p>
        </w:tc>
        <w:tc>
          <w:tcPr>
            <w:tcW w:w="19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Учреждения культуры МБУК «Бурегский СДК»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19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по разделу 4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4"/>
          <w:wAfter w:w="1603" w:type="dxa"/>
        </w:trPr>
        <w:tc>
          <w:tcPr>
            <w:tcW w:w="6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19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по программе 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9175,4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9175,4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9175,4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9175,4</w:t>
            </w:r>
          </w:p>
        </w:tc>
      </w:tr>
    </w:tbl>
    <w:p/>
    <w:sectPr>
      <w:pgSz w:w="16838" w:h="11906" w:orient="landscape"/>
      <w:pgMar w:top="1417" w:right="1134" w:bottom="595" w:left="1134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E6DA5"/>
    <w:multiLevelType w:val="multilevel"/>
    <w:tmpl w:val="06FE6DA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061511F"/>
    <w:multiLevelType w:val="multilevel"/>
    <w:tmpl w:val="2061511F"/>
    <w:lvl w:ilvl="0" w:tentative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0B0A4D"/>
    <w:multiLevelType w:val="multilevel"/>
    <w:tmpl w:val="570B0A4D"/>
    <w:lvl w:ilvl="0" w:tentative="0">
      <w:start w:val="1"/>
      <w:numFmt w:val="decimal"/>
      <w:lvlText w:val="%1."/>
      <w:lvlJc w:val="left"/>
      <w:pPr>
        <w:ind w:left="899" w:hanging="360"/>
      </w:pPr>
      <w:rPr>
        <w:rFonts w:hint="default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89C3141"/>
    <w:rsid w:val="315117C6"/>
    <w:rsid w:val="3D2E204C"/>
    <w:rsid w:val="4258744E"/>
    <w:rsid w:val="45A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 w:line="240" w:lineRule="auto"/>
      <w:outlineLvl w:val="0"/>
    </w:pPr>
    <w:rPr>
      <w:b/>
      <w:kern w:val="36"/>
      <w:sz w:val="48"/>
      <w:szCs w:val="2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paragraph" w:customStyle="1" w:styleId="6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7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styleId="8">
    <w:name w:val="List Paragraph"/>
    <w:basedOn w:val="1"/>
    <w:qFormat/>
    <w:uiPriority w:val="0"/>
    <w:pPr>
      <w:spacing w:after="0" w:line="240" w:lineRule="auto"/>
      <w:ind w:left="720"/>
      <w:contextualSpacing/>
    </w:pPr>
    <w:rPr>
      <w:rFonts w:ascii="Times New Roman" w:hAnsi="Times New Roman" w:eastAsia="Times New Roman"/>
      <w:sz w:val="20"/>
      <w:szCs w:val="20"/>
      <w:lang w:eastAsia="ru-RU"/>
    </w:rPr>
  </w:style>
  <w:style w:type="paragraph" w:customStyle="1" w:styleId="9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11">
    <w:name w:val="Стиль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12">
    <w:name w:val="Прижатый влево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2021-10-25T12:42:30Z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